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Arial" w:hAnsi="Arial" w:cs="Arial"/>
          <w:b/>
          <w:sz w:val="24"/>
          <w:szCs w:val="24"/>
          <w:highlight w:val="none"/>
        </w:rPr>
      </w:pPr>
      <w:r>
        <w:rPr>
          <w:rFonts w:ascii="Arial" w:hAnsi="Arial" w:cs="Arial"/>
          <w:b/>
          <w:sz w:val="24"/>
          <w:szCs w:val="24"/>
          <w:highlight w:val="none"/>
        </w:rPr>
        <w:t>3GPP TSG-RAN WG4 Mee</w:t>
      </w:r>
      <w:r>
        <w:rPr>
          <w:rFonts w:hint="eastAsia" w:ascii="Arial" w:hAnsi="Arial" w:cs="Arial"/>
          <w:b/>
          <w:sz w:val="24"/>
          <w:szCs w:val="24"/>
          <w:highlight w:val="none"/>
        </w:rPr>
        <w:t>ting#</w:t>
      </w:r>
      <w:r>
        <w:rPr>
          <w:rFonts w:ascii="Arial" w:hAnsi="Arial" w:cs="Arial"/>
          <w:b/>
          <w:sz w:val="24"/>
          <w:szCs w:val="24"/>
        </w:rPr>
        <w:t>10</w:t>
      </w:r>
      <w:r>
        <w:rPr>
          <w:rFonts w:hint="eastAsia" w:ascii="Arial" w:hAnsi="Arial" w:cs="Arial"/>
          <w:b/>
          <w:sz w:val="24"/>
          <w:szCs w:val="24"/>
          <w:lang w:val="en-US" w:eastAsia="zh-CN"/>
        </w:rPr>
        <w:t>3-e</w:t>
      </w:r>
      <w:r>
        <w:rPr>
          <w:rFonts w:hint="eastAsia" w:ascii="Arial" w:hAnsi="Arial" w:cs="Arial"/>
          <w:b/>
          <w:sz w:val="24"/>
          <w:szCs w:val="24"/>
          <w:highlight w:val="none"/>
        </w:rPr>
        <w:t xml:space="preserve">                               R4-2209590</w:t>
      </w:r>
      <w:bookmarkStart w:id="5" w:name="_GoBack"/>
      <w:bookmarkEnd w:id="5"/>
      <w:r>
        <w:rPr>
          <w:rFonts w:hint="eastAsia" w:ascii="Arial" w:hAnsi="Arial" w:cs="Arial"/>
          <w:b/>
          <w:sz w:val="24"/>
          <w:szCs w:val="24"/>
          <w:highlight w:val="none"/>
        </w:rPr>
        <w:t xml:space="preserve">                          </w:t>
      </w:r>
    </w:p>
    <w:p>
      <w:pPr>
        <w:tabs>
          <w:tab w:val="left" w:pos="1985"/>
        </w:tabs>
        <w:spacing w:after="180"/>
        <w:ind w:left="1980" w:hanging="1980"/>
        <w:rPr>
          <w:rFonts w:hint="eastAsia" w:ascii="Arial" w:hAnsi="Arial" w:eastAsia="宋体" w:cs="Arial"/>
          <w:b/>
          <w:sz w:val="24"/>
          <w:szCs w:val="24"/>
          <w:highlight w:val="none"/>
          <w:lang w:eastAsia="zh-CN"/>
        </w:rPr>
      </w:pPr>
      <w:r>
        <w:rPr>
          <w:rFonts w:hint="eastAsia" w:ascii="Arial" w:hAnsi="Arial" w:eastAsia="MS Mincho" w:cs="Arial"/>
          <w:b/>
          <w:sz w:val="24"/>
          <w:szCs w:val="24"/>
          <w:highlight w:val="none"/>
          <w:lang w:eastAsia="en-US"/>
        </w:rPr>
        <w:t>E-meeting,</w:t>
      </w:r>
      <w:r>
        <w:rPr>
          <w:rFonts w:hint="eastAsia" w:ascii="Arial" w:hAnsi="Arial" w:eastAsia="宋体" w:cs="Arial"/>
          <w:b/>
          <w:sz w:val="24"/>
          <w:szCs w:val="24"/>
          <w:highlight w:val="none"/>
          <w:lang w:val="en-US" w:eastAsia="zh-CN"/>
        </w:rPr>
        <w:t xml:space="preserve"> May 9</w:t>
      </w:r>
      <w:r>
        <w:rPr>
          <w:rFonts w:ascii="Arial" w:hAnsi="Arial" w:cs="Arial"/>
          <w:b/>
          <w:bCs/>
          <w:sz w:val="24"/>
          <w:szCs w:val="24"/>
        </w:rPr>
        <w:t xml:space="preserve"> – Ma</w:t>
      </w:r>
      <w:r>
        <w:rPr>
          <w:rFonts w:hint="eastAsia" w:ascii="Arial" w:hAnsi="Arial" w:cs="Arial"/>
          <w:b/>
          <w:bCs/>
          <w:sz w:val="24"/>
          <w:szCs w:val="24"/>
          <w:lang w:val="en-US" w:eastAsia="zh-CN"/>
        </w:rPr>
        <w:t>y 20,</w:t>
      </w:r>
      <w:r>
        <w:rPr>
          <w:rFonts w:ascii="Arial" w:hAnsi="Arial" w:eastAsia="MS Mincho" w:cs="Arial"/>
          <w:b/>
          <w:sz w:val="24"/>
          <w:szCs w:val="24"/>
          <w:highlight w:val="none"/>
          <w:lang w:eastAsia="en-US"/>
        </w:rPr>
        <w:t>20</w:t>
      </w:r>
      <w:r>
        <w:rPr>
          <w:rFonts w:hint="eastAsia" w:ascii="Arial" w:hAnsi="Arial" w:eastAsia="MS Mincho" w:cs="Arial"/>
          <w:b/>
          <w:sz w:val="24"/>
          <w:szCs w:val="24"/>
          <w:highlight w:val="none"/>
          <w:lang w:eastAsia="en-US"/>
        </w:rPr>
        <w:t>2</w:t>
      </w:r>
      <w:r>
        <w:rPr>
          <w:rFonts w:hint="eastAsia" w:ascii="Arial" w:hAnsi="Arial" w:cs="Arial"/>
          <w:b/>
          <w:sz w:val="24"/>
          <w:szCs w:val="24"/>
          <w:highlight w:val="none"/>
          <w:lang w:val="en-US" w:eastAsia="zh-CN"/>
        </w:rPr>
        <w:t>2</w:t>
      </w:r>
    </w:p>
    <w:p>
      <w:pPr>
        <w:tabs>
          <w:tab w:val="left" w:pos="1985"/>
        </w:tabs>
        <w:spacing w:after="180"/>
        <w:ind w:left="1980" w:hanging="1980"/>
        <w:rPr>
          <w:rFonts w:hint="default" w:ascii="Arial" w:hAnsi="Arial" w:eastAsia="宋体" w:cs="Arial"/>
          <w:b/>
          <w:sz w:val="24"/>
          <w:szCs w:val="24"/>
          <w:lang w:val="en-US" w:eastAsia="zh-CN"/>
        </w:rPr>
      </w:pPr>
      <w:r>
        <w:rPr>
          <w:rFonts w:ascii="Arial" w:hAnsi="Arial" w:eastAsia="MS Mincho" w:cs="Arial"/>
          <w:b/>
          <w:sz w:val="24"/>
          <w:szCs w:val="24"/>
          <w:lang w:eastAsia="en-US"/>
        </w:rPr>
        <w:t>Agenda item:</w:t>
      </w:r>
      <w:r>
        <w:rPr>
          <w:rFonts w:ascii="Arial" w:hAnsi="Arial" w:eastAsia="MS Mincho" w:cs="Arial"/>
          <w:b/>
          <w:sz w:val="24"/>
          <w:szCs w:val="24"/>
          <w:lang w:eastAsia="en-US"/>
        </w:rPr>
        <w:tab/>
      </w:r>
      <w:r>
        <w:rPr>
          <w:rFonts w:hint="eastAsia" w:ascii="Arial" w:hAnsi="Arial" w:eastAsia="宋体" w:cs="Arial"/>
          <w:b/>
          <w:sz w:val="24"/>
          <w:szCs w:val="24"/>
          <w:lang w:val="en-US" w:eastAsia="zh-CN"/>
        </w:rPr>
        <w:t>9.</w:t>
      </w:r>
      <w:r>
        <w:rPr>
          <w:rFonts w:hint="eastAsia" w:ascii="Arial" w:hAnsi="Arial" w:cs="Arial"/>
          <w:b/>
          <w:sz w:val="24"/>
          <w:szCs w:val="24"/>
          <w:lang w:val="en-US" w:eastAsia="zh-CN"/>
        </w:rPr>
        <w:t>15</w:t>
      </w:r>
      <w:r>
        <w:rPr>
          <w:rFonts w:hint="eastAsia" w:ascii="Arial" w:hAnsi="Arial" w:eastAsia="宋体" w:cs="Arial"/>
          <w:b/>
          <w:sz w:val="24"/>
          <w:szCs w:val="24"/>
          <w:lang w:val="en-US" w:eastAsia="zh-CN"/>
        </w:rPr>
        <w:t>.</w:t>
      </w:r>
      <w:r>
        <w:rPr>
          <w:rFonts w:hint="eastAsia" w:ascii="Arial" w:hAnsi="Arial" w:cs="Arial"/>
          <w:b/>
          <w:sz w:val="24"/>
          <w:szCs w:val="24"/>
          <w:lang w:val="en-US" w:eastAsia="zh-CN"/>
        </w:rPr>
        <w:t>5</w:t>
      </w:r>
      <w:r>
        <w:rPr>
          <w:rFonts w:hint="eastAsia" w:ascii="Arial" w:hAnsi="Arial" w:eastAsia="宋体" w:cs="Arial"/>
          <w:b/>
          <w:sz w:val="24"/>
          <w:szCs w:val="24"/>
          <w:lang w:val="en-US" w:eastAsia="zh-CN"/>
        </w:rPr>
        <w:t>.</w:t>
      </w:r>
      <w:r>
        <w:rPr>
          <w:rFonts w:hint="eastAsia" w:ascii="Arial" w:hAnsi="Arial" w:cs="Arial"/>
          <w:b/>
          <w:sz w:val="24"/>
          <w:szCs w:val="24"/>
          <w:lang w:val="en-US" w:eastAsia="zh-CN"/>
        </w:rPr>
        <w:t>1</w:t>
      </w:r>
    </w:p>
    <w:p>
      <w:pPr>
        <w:tabs>
          <w:tab w:val="left" w:pos="1985"/>
        </w:tabs>
        <w:spacing w:after="180"/>
        <w:ind w:left="1980" w:hanging="1980"/>
        <w:rPr>
          <w:rFonts w:ascii="Arial" w:hAnsi="Arial" w:cs="Arial"/>
          <w:b/>
          <w:sz w:val="24"/>
          <w:szCs w:val="24"/>
        </w:rPr>
      </w:pPr>
      <w:r>
        <w:rPr>
          <w:rFonts w:ascii="Arial" w:hAnsi="Arial" w:eastAsia="MS Mincho" w:cs="Arial"/>
          <w:b/>
          <w:sz w:val="24"/>
          <w:szCs w:val="24"/>
          <w:lang w:eastAsia="en-US"/>
        </w:rPr>
        <w:t xml:space="preserve">Source: </w:t>
      </w:r>
      <w:r>
        <w:rPr>
          <w:rFonts w:ascii="Arial" w:hAnsi="Arial" w:eastAsia="MS Mincho" w:cs="Arial"/>
          <w:b/>
          <w:sz w:val="24"/>
          <w:szCs w:val="24"/>
          <w:lang w:eastAsia="en-US"/>
        </w:rPr>
        <w:tab/>
      </w:r>
      <w:r>
        <w:rPr>
          <w:rFonts w:ascii="Arial" w:hAnsi="Arial" w:eastAsia="MS Mincho" w:cs="Arial"/>
          <w:b/>
          <w:sz w:val="24"/>
          <w:szCs w:val="24"/>
          <w:lang w:eastAsia="en-US"/>
        </w:rPr>
        <w:t>ZTE</w:t>
      </w:r>
      <w:r>
        <w:rPr>
          <w:rFonts w:hint="eastAsia" w:ascii="Arial" w:hAnsi="Arial" w:cs="Arial"/>
          <w:b/>
          <w:sz w:val="24"/>
          <w:szCs w:val="24"/>
        </w:rPr>
        <w:t xml:space="preserve"> Corporation</w:t>
      </w:r>
    </w:p>
    <w:p>
      <w:pPr>
        <w:spacing w:after="60"/>
        <w:ind w:left="1985" w:hanging="1985"/>
        <w:rPr>
          <w:rFonts w:hint="default" w:ascii="Arial" w:hAnsi="Arial" w:cs="Arial"/>
          <w:b/>
          <w:sz w:val="22"/>
          <w:szCs w:val="22"/>
          <w:lang w:val="en-US"/>
        </w:rPr>
      </w:pPr>
      <w:r>
        <w:rPr>
          <w:rFonts w:ascii="Arial" w:hAnsi="Arial" w:eastAsia="MS Mincho" w:cs="Arial"/>
          <w:b/>
          <w:sz w:val="24"/>
          <w:szCs w:val="24"/>
          <w:lang w:eastAsia="en-US"/>
        </w:rPr>
        <w:t xml:space="preserve">Title: </w:t>
      </w:r>
      <w:r>
        <w:rPr>
          <w:rFonts w:ascii="Arial" w:hAnsi="Arial" w:eastAsia="MS Mincho" w:cs="Arial"/>
          <w:b/>
          <w:sz w:val="24"/>
          <w:szCs w:val="24"/>
          <w:lang w:eastAsia="en-US"/>
        </w:rPr>
        <w:tab/>
      </w:r>
      <w:r>
        <w:rPr>
          <w:rFonts w:hint="eastAsia" w:ascii="Arial" w:hAnsi="Arial" w:eastAsia="MS Mincho" w:cs="Arial"/>
          <w:b/>
          <w:sz w:val="24"/>
          <w:szCs w:val="24"/>
          <w:lang w:val="en-US" w:eastAsia="zh-CN"/>
        </w:rPr>
        <w:t>Discussion on BS conformance testing for 52.6-71GHz</w:t>
      </w:r>
    </w:p>
    <w:p>
      <w:pPr>
        <w:tabs>
          <w:tab w:val="left" w:pos="1980"/>
        </w:tabs>
        <w:spacing w:after="180"/>
        <w:ind w:left="1980" w:hanging="1980"/>
        <w:rPr>
          <w:rFonts w:ascii="Arial" w:hAnsi="Arial" w:cs="Arial"/>
          <w:b/>
          <w:sz w:val="24"/>
          <w:szCs w:val="24"/>
        </w:rPr>
      </w:pPr>
      <w:r>
        <w:rPr>
          <w:rFonts w:ascii="Arial" w:hAnsi="Arial" w:eastAsia="MS Mincho" w:cs="Arial"/>
          <w:b/>
          <w:sz w:val="24"/>
          <w:szCs w:val="24"/>
          <w:lang w:eastAsia="en-US"/>
        </w:rPr>
        <w:t>Document for:</w:t>
      </w:r>
      <w:r>
        <w:rPr>
          <w:rFonts w:ascii="Arial" w:hAnsi="Arial" w:eastAsia="MS Mincho" w:cs="Arial"/>
          <w:b/>
          <w:sz w:val="24"/>
          <w:szCs w:val="24"/>
          <w:lang w:eastAsia="en-US"/>
        </w:rPr>
        <w:tab/>
      </w:r>
      <w:bookmarkStart w:id="0" w:name="DocumentFor"/>
      <w:bookmarkEnd w:id="0"/>
      <w:r>
        <w:rPr>
          <w:rFonts w:hint="eastAsia" w:ascii="Arial" w:hAnsi="Arial" w:cs="Arial"/>
          <w:b/>
          <w:sz w:val="24"/>
          <w:szCs w:val="24"/>
        </w:rPr>
        <w:t xml:space="preserve">Approval  </w:t>
      </w:r>
    </w:p>
    <w:p>
      <w:pPr>
        <w:pStyle w:val="53"/>
        <w:tabs>
          <w:tab w:val="left" w:pos="567"/>
          <w:tab w:val="clear" w:pos="1985"/>
        </w:tabs>
        <w:adjustRightInd w:val="0"/>
        <w:ind w:left="510" w:hanging="510"/>
      </w:pPr>
      <w:r>
        <w:t>Introduction</w:t>
      </w:r>
    </w:p>
    <w:p>
      <w:pPr>
        <w:pBdr>
          <w:top w:val="none" w:color="auto" w:sz="0" w:space="0"/>
          <w:left w:val="none" w:color="auto" w:sz="0" w:space="0"/>
          <w:bottom w:val="none" w:color="auto" w:sz="0" w:space="0"/>
          <w:right w:val="none" w:color="auto" w:sz="0" w:space="0"/>
          <w:between w:val="none" w:color="auto" w:sz="0" w:space="0"/>
        </w:pBdr>
        <w:rPr>
          <w:rFonts w:hint="default"/>
          <w:kern w:val="0"/>
          <w:sz w:val="20"/>
          <w:szCs w:val="20"/>
          <w:lang w:val="en-US" w:eastAsia="zh-CN"/>
        </w:rPr>
      </w:pPr>
      <w:r>
        <w:rPr>
          <w:rFonts w:hint="eastAsia"/>
          <w:kern w:val="0"/>
          <w:sz w:val="20"/>
          <w:szCs w:val="20"/>
          <w:lang w:val="en-US" w:eastAsia="zh-CN"/>
        </w:rPr>
        <w:t>Based on the agreed timeline for 52.6-71GHz, the conformance testing work for 52.6-71GHz should be triggered at this RAN4 meeting and targeted to be completed at Dec, 2022 based on updated status report [3] due to the slow progress of this work item. In this contribution, we want to share initial views for 52.6-71GHz BS conformance testing.</w:t>
      </w:r>
    </w:p>
    <w:p>
      <w:pPr>
        <w:pStyle w:val="53"/>
        <w:tabs>
          <w:tab w:val="left" w:pos="567"/>
          <w:tab w:val="clear" w:pos="1985"/>
        </w:tabs>
        <w:adjustRightInd w:val="0"/>
        <w:ind w:left="510" w:hanging="510"/>
        <w:rPr>
          <w:rFonts w:hint="eastAsia"/>
          <w:lang w:val="en-US" w:eastAsia="zh-CN"/>
        </w:rPr>
      </w:pPr>
      <w:r>
        <w:rPr>
          <w:rFonts w:hint="eastAsia"/>
        </w:rPr>
        <w:t xml:space="preserve">Discussion </w:t>
      </w:r>
      <w:bookmarkStart w:id="1" w:name="OLE_LINK20"/>
      <w:bookmarkStart w:id="2" w:name="OLE_LINK13"/>
      <w:bookmarkStart w:id="3" w:name="OLE_LINK10"/>
      <w:bookmarkStart w:id="4" w:name="OLE_LINK14"/>
    </w:p>
    <w:p>
      <w:pPr>
        <w:keepNext w:val="0"/>
        <w:keepLines w:val="0"/>
        <w:pageBreakBefore w:val="0"/>
        <w:widowControl w:val="0"/>
        <w:numPr>
          <w:ilvl w:val="0"/>
          <w:numId w:val="0"/>
        </w:numPr>
        <w:pBdr>
          <w:top w:val="none" w:color="auto" w:sz="0" w:space="0"/>
          <w:left w:val="none" w:color="auto" w:sz="0" w:space="0"/>
          <w:bottom w:val="none" w:color="000000" w:sz="0" w:space="0"/>
          <w:right w:val="none" w:color="auto" w:sz="0" w:space="0"/>
          <w:between w:val="none" w:color="auto" w:sz="0" w:space="0"/>
        </w:pBdr>
        <w:kinsoku/>
        <w:wordWrap/>
        <w:overflowPunct w:val="0"/>
        <w:topLinePunct w:val="0"/>
        <w:autoSpaceDE w:val="0"/>
        <w:autoSpaceDN w:val="0"/>
        <w:bidi w:val="0"/>
        <w:adjustRightInd w:val="0"/>
        <w:snapToGrid/>
        <w:ind w:leftChars="0"/>
        <w:jc w:val="both"/>
        <w:textAlignment w:val="baseline"/>
        <w:outlineLvl w:val="1"/>
        <w:rPr>
          <w:rFonts w:hint="default" w:ascii="Arial" w:hAnsi="Arial" w:eastAsia="宋体" w:cs="Arial"/>
          <w:sz w:val="24"/>
          <w:szCs w:val="24"/>
          <w:highlight w:val="none"/>
          <w:lang w:val="en-US" w:eastAsia="zh-CN"/>
        </w:rPr>
      </w:pPr>
      <w:r>
        <w:rPr>
          <w:rFonts w:hint="eastAsia" w:ascii="Arial" w:hAnsi="Arial" w:eastAsia="宋体" w:cs="Arial"/>
          <w:sz w:val="24"/>
          <w:szCs w:val="24"/>
          <w:highlight w:val="none"/>
          <w:lang w:val="en-US" w:eastAsia="zh-CN"/>
        </w:rPr>
        <w:t xml:space="preserve">2.1. </w:t>
      </w:r>
      <w:r>
        <w:rPr>
          <w:rFonts w:hint="default" w:ascii="Arial" w:hAnsi="Arial" w:eastAsia="宋体" w:cs="Arial"/>
          <w:sz w:val="24"/>
          <w:szCs w:val="24"/>
          <w:highlight w:val="none"/>
          <w:lang w:val="en-US" w:eastAsia="zh-CN"/>
        </w:rPr>
        <w:t>General part</w:t>
      </w:r>
    </w:p>
    <w:p>
      <w:pPr>
        <w:numPr>
          <w:ilvl w:val="0"/>
          <w:numId w:val="0"/>
        </w:numPr>
        <w:pBdr>
          <w:top w:val="none" w:color="auto" w:sz="0" w:space="0"/>
          <w:left w:val="none" w:color="auto" w:sz="0" w:space="0"/>
          <w:bottom w:val="none" w:color="000000" w:sz="0" w:space="0"/>
          <w:right w:val="none" w:color="auto" w:sz="0" w:space="0"/>
          <w:between w:val="none" w:color="auto" w:sz="0" w:space="0"/>
        </w:pBdr>
        <w:overflowPunct w:val="0"/>
        <w:autoSpaceDE w:val="0"/>
        <w:autoSpaceDN w:val="0"/>
        <w:adjustRightInd w:val="0"/>
        <w:ind w:leftChars="0"/>
        <w:jc w:val="both"/>
        <w:textAlignment w:val="baseline"/>
        <w:rPr>
          <w:rFonts w:hint="default" w:ascii="Arial" w:hAnsi="Arial" w:eastAsia="宋体" w:cs="Arial"/>
          <w:sz w:val="24"/>
          <w:szCs w:val="24"/>
          <w:highlight w:val="none"/>
          <w:lang w:val="en-US" w:eastAsia="zh-CN"/>
        </w:rPr>
      </w:pPr>
    </w:p>
    <w:p>
      <w:pPr>
        <w:keepNext w:val="0"/>
        <w:keepLines w:val="0"/>
        <w:pageBreakBefore w:val="0"/>
        <w:widowControl w:val="0"/>
        <w:pBdr>
          <w:top w:val="none" w:color="auto" w:sz="0" w:space="0"/>
          <w:left w:val="none" w:color="auto" w:sz="0" w:space="0"/>
          <w:bottom w:val="none" w:color="000000" w:sz="0" w:space="0"/>
          <w:right w:val="none" w:color="auto" w:sz="0" w:space="0"/>
          <w:between w:val="none" w:color="auto" w:sz="0" w:space="0"/>
        </w:pBdr>
        <w:kinsoku/>
        <w:wordWrap/>
        <w:overflowPunct w:val="0"/>
        <w:topLinePunct w:val="0"/>
        <w:autoSpaceDE w:val="0"/>
        <w:autoSpaceDN w:val="0"/>
        <w:bidi w:val="0"/>
        <w:adjustRightInd w:val="0"/>
        <w:snapToGrid/>
        <w:jc w:val="both"/>
        <w:textAlignment w:val="baseline"/>
        <w:outlineLvl w:val="2"/>
        <w:rPr>
          <w:rFonts w:hint="default" w:ascii="Arial" w:hAnsi="Arial" w:eastAsia="宋体" w:cs="Arial"/>
          <w:sz w:val="21"/>
          <w:szCs w:val="21"/>
          <w:highlight w:val="none"/>
          <w:lang w:val="en-US" w:eastAsia="zh-CN"/>
        </w:rPr>
      </w:pPr>
      <w:r>
        <w:rPr>
          <w:rFonts w:hint="default" w:ascii="Arial" w:hAnsi="Arial" w:eastAsia="宋体" w:cs="Arial"/>
          <w:sz w:val="21"/>
          <w:szCs w:val="21"/>
          <w:highlight w:val="none"/>
          <w:lang w:val="en-US" w:eastAsia="zh-CN"/>
        </w:rPr>
        <w:t xml:space="preserve">2.1.1.Test configuration </w:t>
      </w:r>
    </w:p>
    <w:p>
      <w:pPr>
        <w:pBdr>
          <w:top w:val="none" w:color="auto" w:sz="0" w:space="0"/>
          <w:left w:val="none" w:color="auto" w:sz="0" w:space="0"/>
          <w:bottom w:val="none" w:color="000000" w:sz="0" w:space="0"/>
          <w:right w:val="none" w:color="auto" w:sz="0" w:space="0"/>
          <w:between w:val="none" w:color="auto" w:sz="0" w:space="0"/>
        </w:pBdr>
        <w:overflowPunct w:val="0"/>
        <w:autoSpaceDE w:val="0"/>
        <w:autoSpaceDN w:val="0"/>
        <w:adjustRightInd w:val="0"/>
        <w:jc w:val="both"/>
        <w:textAlignment w:val="baseline"/>
        <w:rPr>
          <w:rFonts w:hint="eastAsia" w:ascii="Times New Roman" w:hAnsi="Times New Roman" w:eastAsia="宋体" w:cs="Times New Roman"/>
          <w:sz w:val="20"/>
          <w:szCs w:val="22"/>
          <w:highlight w:val="none"/>
          <w:lang w:val="en-US" w:eastAsia="zh-CN"/>
        </w:rPr>
      </w:pPr>
      <w:r>
        <w:rPr>
          <w:rFonts w:hint="eastAsia" w:ascii="Times New Roman" w:hAnsi="Times New Roman" w:eastAsia="宋体" w:cs="Times New Roman"/>
          <w:sz w:val="20"/>
          <w:szCs w:val="22"/>
          <w:highlight w:val="none"/>
          <w:lang w:val="en-US" w:eastAsia="zh-CN"/>
        </w:rPr>
        <w:t xml:space="preserve">First of all, test configuration is one of essential parts for conformance testing to configure the test signals and how to place the signals within RF channel. </w:t>
      </w:r>
    </w:p>
    <w:p>
      <w:pPr>
        <w:pBdr>
          <w:top w:val="none" w:color="auto" w:sz="0" w:space="0"/>
          <w:left w:val="none" w:color="auto" w:sz="0" w:space="0"/>
          <w:bottom w:val="none" w:color="000000" w:sz="0" w:space="0"/>
          <w:right w:val="none" w:color="auto" w:sz="0" w:space="0"/>
          <w:between w:val="none" w:color="auto" w:sz="0" w:space="0"/>
        </w:pBdr>
        <w:overflowPunct w:val="0"/>
        <w:autoSpaceDE w:val="0"/>
        <w:autoSpaceDN w:val="0"/>
        <w:adjustRightInd w:val="0"/>
        <w:jc w:val="both"/>
        <w:textAlignment w:val="baseline"/>
        <w:rPr>
          <w:rFonts w:hint="default" w:ascii="Times New Roman" w:hAnsi="Times New Roman" w:eastAsia="宋体" w:cs="Times New Roman"/>
          <w:sz w:val="20"/>
          <w:szCs w:val="22"/>
          <w:highlight w:val="none"/>
          <w:lang w:val="en-US" w:eastAsia="zh-CN"/>
        </w:rPr>
      </w:pPr>
      <w:r>
        <w:rPr>
          <w:rFonts w:hint="eastAsia" w:ascii="Times New Roman" w:hAnsi="Times New Roman" w:eastAsia="宋体" w:cs="Times New Roman"/>
          <w:sz w:val="20"/>
          <w:szCs w:val="22"/>
          <w:highlight w:val="none"/>
          <w:lang w:val="en-US" w:eastAsia="zh-CN"/>
        </w:rPr>
        <w:t xml:space="preserve">Per our understanding, </w:t>
      </w:r>
      <w:r>
        <w:rPr>
          <w:rFonts w:hint="eastAsia" w:cs="Times New Roman"/>
          <w:sz w:val="20"/>
          <w:szCs w:val="22"/>
          <w:highlight w:val="none"/>
          <w:lang w:val="en-US" w:eastAsia="zh-CN"/>
        </w:rPr>
        <w:t>based on the agreed CBW, SCS for unlicensed band n264, it seems that 100MHz might be not typical and practical channel bandwidth to be used for 52.6-71GHz and only one SCS 120kHz is supported for that frequency ranges, therefore we propose to update the test configuration signal characteristic as in table 4.7.2.1-2a in which 100MHz testing signal is replaced by 400MHz testing signal. In addition, similar as the legacy NR BS conformance testing, the narrowest channel bandwidth 100MHz could also been tested which could be declared by vendors.</w:t>
      </w:r>
    </w:p>
    <w:p>
      <w:pPr>
        <w:pStyle w:val="42"/>
        <w:rPr>
          <w:rFonts w:hint="default" w:eastAsia="宋体"/>
          <w:lang w:val="en-US" w:eastAsia="zh-CN"/>
        </w:rPr>
      </w:pPr>
      <w:r>
        <w:t xml:space="preserve">Table 5.3.5-3: </w:t>
      </w:r>
      <w:r>
        <w:rPr>
          <w:i/>
        </w:rPr>
        <w:t>BS channel bandwidths</w:t>
      </w:r>
      <w:r>
        <w:t xml:space="preserve"> and SCS per </w:t>
      </w:r>
      <w:r>
        <w:rPr>
          <w:i/>
        </w:rPr>
        <w:t>operating band</w:t>
      </w:r>
      <w:r>
        <w:t xml:space="preserve"> in FR2-2</w:t>
      </w:r>
      <w:r>
        <w:rPr>
          <w:rFonts w:hint="eastAsia"/>
          <w:lang w:val="en-US" w:eastAsia="zh-CN"/>
        </w:rPr>
        <w:t xml:space="preserve"> [extracted from R4-2206582]</w:t>
      </w:r>
    </w:p>
    <w:tbl>
      <w:tblPr>
        <w:tblStyle w:val="21"/>
        <w:tblW w:w="0" w:type="auto"/>
        <w:tblInd w:w="0" w:type="dxa"/>
        <w:tblLayout w:type="autofit"/>
        <w:tblCellMar>
          <w:top w:w="0" w:type="dxa"/>
          <w:left w:w="108" w:type="dxa"/>
          <w:bottom w:w="0" w:type="dxa"/>
          <w:right w:w="108" w:type="dxa"/>
        </w:tblCellMar>
      </w:tblPr>
      <w:tblGrid>
        <w:gridCol w:w="1403"/>
        <w:gridCol w:w="1385"/>
        <w:gridCol w:w="1384"/>
        <w:gridCol w:w="1384"/>
        <w:gridCol w:w="1549"/>
        <w:gridCol w:w="1140"/>
        <w:gridCol w:w="1384"/>
      </w:tblGrid>
      <w:tr>
        <w:tblPrEx>
          <w:tblCellMar>
            <w:top w:w="0" w:type="dxa"/>
            <w:left w:w="108" w:type="dxa"/>
            <w:bottom w:w="0" w:type="dxa"/>
            <w:right w:w="108" w:type="dxa"/>
          </w:tblCellMar>
        </w:tblPrEx>
        <w:tc>
          <w:tcPr>
            <w:tcW w:w="1403" w:type="dxa"/>
            <w:tcBorders>
              <w:top w:val="single" w:color="auto" w:sz="4" w:space="0"/>
              <w:left w:val="single" w:color="auto" w:sz="4" w:space="0"/>
              <w:bottom w:val="single" w:color="auto" w:sz="4" w:space="0"/>
              <w:right w:val="single" w:color="auto" w:sz="4" w:space="0"/>
            </w:tcBorders>
          </w:tcPr>
          <w:p>
            <w:pPr>
              <w:pStyle w:val="32"/>
              <w:rPr>
                <w:lang w:eastAsia="en-GB"/>
              </w:rPr>
            </w:pPr>
          </w:p>
        </w:tc>
        <w:tc>
          <w:tcPr>
            <w:tcW w:w="8226" w:type="dxa"/>
            <w:gridSpan w:val="6"/>
            <w:tcBorders>
              <w:top w:val="single" w:color="auto" w:sz="4" w:space="0"/>
              <w:left w:val="single" w:color="auto" w:sz="4" w:space="0"/>
              <w:bottom w:val="single" w:color="auto" w:sz="4" w:space="0"/>
              <w:right w:val="single" w:color="auto" w:sz="4" w:space="0"/>
            </w:tcBorders>
          </w:tcPr>
          <w:p>
            <w:pPr>
              <w:pStyle w:val="32"/>
              <w:rPr>
                <w:lang w:eastAsia="en-GB"/>
              </w:rPr>
            </w:pPr>
            <w:r>
              <w:rPr>
                <w:lang w:eastAsia="en-GB"/>
              </w:rPr>
              <w:t xml:space="preserve">NR band / SCS / </w:t>
            </w:r>
            <w:r>
              <w:rPr>
                <w:i/>
                <w:lang w:eastAsia="en-GB"/>
              </w:rPr>
              <w:t>BS channel bandwidth</w:t>
            </w:r>
          </w:p>
        </w:tc>
      </w:tr>
      <w:tr>
        <w:tblPrEx>
          <w:tblCellMar>
            <w:top w:w="0" w:type="dxa"/>
            <w:left w:w="108" w:type="dxa"/>
            <w:bottom w:w="0" w:type="dxa"/>
            <w:right w:w="108" w:type="dxa"/>
          </w:tblCellMar>
        </w:tblPrEx>
        <w:tc>
          <w:tcPr>
            <w:tcW w:w="1403" w:type="dxa"/>
            <w:tcBorders>
              <w:top w:val="single" w:color="auto" w:sz="4" w:space="0"/>
              <w:left w:val="single" w:color="auto" w:sz="4" w:space="0"/>
              <w:bottom w:val="single" w:color="auto" w:sz="4" w:space="0"/>
              <w:right w:val="single" w:color="auto" w:sz="4" w:space="0"/>
            </w:tcBorders>
            <w:vAlign w:val="center"/>
          </w:tcPr>
          <w:p>
            <w:pPr>
              <w:pStyle w:val="32"/>
              <w:rPr>
                <w:lang w:eastAsia="en-GB"/>
              </w:rPr>
            </w:pPr>
            <w:r>
              <w:rPr>
                <w:lang w:eastAsia="en-GB"/>
              </w:rPr>
              <w:t>NR Band</w:t>
            </w:r>
          </w:p>
        </w:tc>
        <w:tc>
          <w:tcPr>
            <w:tcW w:w="1385" w:type="dxa"/>
            <w:tcBorders>
              <w:top w:val="single" w:color="auto" w:sz="4" w:space="0"/>
              <w:left w:val="single" w:color="auto" w:sz="4" w:space="0"/>
              <w:bottom w:val="single" w:color="auto" w:sz="4" w:space="0"/>
              <w:right w:val="single" w:color="auto" w:sz="4" w:space="0"/>
            </w:tcBorders>
            <w:vAlign w:val="center"/>
          </w:tcPr>
          <w:p>
            <w:pPr>
              <w:pStyle w:val="32"/>
              <w:rPr>
                <w:lang w:eastAsia="en-GB"/>
              </w:rPr>
            </w:pPr>
            <w:r>
              <w:rPr>
                <w:lang w:eastAsia="en-GB"/>
              </w:rPr>
              <w:t>SCS</w:t>
            </w:r>
          </w:p>
          <w:p>
            <w:pPr>
              <w:pStyle w:val="32"/>
              <w:rPr>
                <w:lang w:eastAsia="en-GB"/>
              </w:rPr>
            </w:pPr>
            <w:r>
              <w:rPr>
                <w:lang w:eastAsia="en-GB"/>
              </w:rPr>
              <w:t>kHz</w:t>
            </w:r>
          </w:p>
        </w:tc>
        <w:tc>
          <w:tcPr>
            <w:tcW w:w="1384" w:type="dxa"/>
            <w:tcBorders>
              <w:top w:val="single" w:color="auto" w:sz="4" w:space="0"/>
              <w:left w:val="single" w:color="auto" w:sz="4" w:space="0"/>
              <w:bottom w:val="single" w:color="auto" w:sz="4" w:space="0"/>
              <w:right w:val="single" w:color="auto" w:sz="4" w:space="0"/>
            </w:tcBorders>
            <w:vAlign w:val="center"/>
          </w:tcPr>
          <w:p>
            <w:pPr>
              <w:pStyle w:val="32"/>
              <w:rPr>
                <w:lang w:eastAsia="en-GB"/>
              </w:rPr>
            </w:pPr>
            <w:r>
              <w:rPr>
                <w:lang w:eastAsia="en-GB"/>
              </w:rPr>
              <w:t>100 MHz</w:t>
            </w:r>
          </w:p>
        </w:tc>
        <w:tc>
          <w:tcPr>
            <w:tcW w:w="1384" w:type="dxa"/>
            <w:tcBorders>
              <w:top w:val="single" w:color="auto" w:sz="4" w:space="0"/>
              <w:left w:val="single" w:color="auto" w:sz="4" w:space="0"/>
              <w:bottom w:val="single" w:color="auto" w:sz="4" w:space="0"/>
              <w:right w:val="single" w:color="auto" w:sz="4" w:space="0"/>
            </w:tcBorders>
            <w:vAlign w:val="center"/>
          </w:tcPr>
          <w:p>
            <w:pPr>
              <w:pStyle w:val="32"/>
              <w:rPr>
                <w:lang w:eastAsia="en-GB"/>
              </w:rPr>
            </w:pPr>
            <w:r>
              <w:rPr>
                <w:lang w:eastAsia="en-GB"/>
              </w:rPr>
              <w:t>400 MHz</w:t>
            </w:r>
          </w:p>
        </w:tc>
        <w:tc>
          <w:tcPr>
            <w:tcW w:w="1549" w:type="dxa"/>
            <w:tcBorders>
              <w:top w:val="single" w:color="auto" w:sz="4" w:space="0"/>
              <w:left w:val="single" w:color="auto" w:sz="4" w:space="0"/>
              <w:bottom w:val="single" w:color="auto" w:sz="4" w:space="0"/>
              <w:right w:val="single" w:color="auto" w:sz="4" w:space="0"/>
            </w:tcBorders>
            <w:vAlign w:val="center"/>
          </w:tcPr>
          <w:p>
            <w:pPr>
              <w:pStyle w:val="32"/>
              <w:rPr>
                <w:lang w:eastAsia="en-GB"/>
              </w:rPr>
            </w:pPr>
            <w:r>
              <w:rPr>
                <w:lang w:eastAsia="en-GB"/>
              </w:rPr>
              <w:t>800 MHz</w:t>
            </w:r>
          </w:p>
        </w:tc>
        <w:tc>
          <w:tcPr>
            <w:tcW w:w="1140" w:type="dxa"/>
            <w:tcBorders>
              <w:top w:val="single" w:color="auto" w:sz="4" w:space="0"/>
              <w:left w:val="single" w:color="auto" w:sz="4" w:space="0"/>
              <w:bottom w:val="single" w:color="auto" w:sz="4" w:space="0"/>
              <w:right w:val="single" w:color="auto" w:sz="4" w:space="0"/>
            </w:tcBorders>
            <w:vAlign w:val="center"/>
          </w:tcPr>
          <w:p>
            <w:pPr>
              <w:pStyle w:val="32"/>
              <w:rPr>
                <w:lang w:eastAsia="en-GB"/>
              </w:rPr>
            </w:pPr>
            <w:r>
              <w:rPr>
                <w:lang w:eastAsia="en-GB"/>
              </w:rPr>
              <w:t>1600 MHz</w:t>
            </w:r>
          </w:p>
        </w:tc>
        <w:tc>
          <w:tcPr>
            <w:tcW w:w="1384" w:type="dxa"/>
            <w:tcBorders>
              <w:top w:val="single" w:color="auto" w:sz="4" w:space="0"/>
              <w:left w:val="single" w:color="auto" w:sz="4" w:space="0"/>
              <w:bottom w:val="single" w:color="auto" w:sz="4" w:space="0"/>
              <w:right w:val="single" w:color="auto" w:sz="4" w:space="0"/>
            </w:tcBorders>
            <w:vAlign w:val="center"/>
          </w:tcPr>
          <w:p>
            <w:pPr>
              <w:pStyle w:val="32"/>
              <w:rPr>
                <w:lang w:eastAsia="en-GB"/>
              </w:rPr>
            </w:pPr>
            <w:r>
              <w:rPr>
                <w:lang w:eastAsia="en-GB"/>
              </w:rPr>
              <w:t>2000 MHz</w:t>
            </w:r>
          </w:p>
        </w:tc>
      </w:tr>
      <w:tr>
        <w:tblPrEx>
          <w:tblCellMar>
            <w:top w:w="0" w:type="dxa"/>
            <w:left w:w="108" w:type="dxa"/>
            <w:bottom w:w="0" w:type="dxa"/>
            <w:right w:w="108" w:type="dxa"/>
          </w:tblCellMar>
        </w:tblPrEx>
        <w:tc>
          <w:tcPr>
            <w:tcW w:w="1403" w:type="dxa"/>
            <w:tcBorders>
              <w:top w:val="single" w:color="auto" w:sz="4" w:space="0"/>
              <w:left w:val="single" w:color="auto" w:sz="4" w:space="0"/>
              <w:bottom w:val="single" w:color="auto" w:sz="4" w:space="0"/>
              <w:right w:val="single" w:color="auto" w:sz="4" w:space="0"/>
            </w:tcBorders>
            <w:vAlign w:val="center"/>
          </w:tcPr>
          <w:p>
            <w:pPr>
              <w:pStyle w:val="33"/>
              <w:rPr>
                <w:lang w:eastAsia="en-GB"/>
              </w:rPr>
            </w:pPr>
            <w:r>
              <w:rPr>
                <w:lang w:eastAsia="en-GB"/>
              </w:rPr>
              <w:t>[n264]</w:t>
            </w:r>
          </w:p>
        </w:tc>
        <w:tc>
          <w:tcPr>
            <w:tcW w:w="1385" w:type="dxa"/>
            <w:tcBorders>
              <w:top w:val="single" w:color="auto" w:sz="4" w:space="0"/>
              <w:left w:val="single" w:color="auto" w:sz="4" w:space="0"/>
              <w:bottom w:val="single" w:color="auto" w:sz="4" w:space="0"/>
              <w:right w:val="single" w:color="auto" w:sz="4" w:space="0"/>
            </w:tcBorders>
            <w:vAlign w:val="center"/>
          </w:tcPr>
          <w:p>
            <w:pPr>
              <w:pStyle w:val="33"/>
              <w:rPr>
                <w:lang w:eastAsia="en-GB"/>
              </w:rPr>
            </w:pPr>
            <w:r>
              <w:rPr>
                <w:lang w:eastAsia="en-GB"/>
              </w:rPr>
              <w:t>120</w:t>
            </w:r>
          </w:p>
        </w:tc>
        <w:tc>
          <w:tcPr>
            <w:tcW w:w="1384" w:type="dxa"/>
            <w:tcBorders>
              <w:top w:val="single" w:color="auto" w:sz="4" w:space="0"/>
              <w:left w:val="single" w:color="auto" w:sz="4" w:space="0"/>
              <w:bottom w:val="single" w:color="auto" w:sz="4" w:space="0"/>
              <w:right w:val="single" w:color="auto" w:sz="4" w:space="0"/>
            </w:tcBorders>
          </w:tcPr>
          <w:p>
            <w:pPr>
              <w:pStyle w:val="33"/>
              <w:rPr>
                <w:lang w:eastAsia="en-GB"/>
              </w:rPr>
            </w:pPr>
            <w:r>
              <w:rPr>
                <w:lang w:eastAsia="en-GB"/>
              </w:rPr>
              <w:t>Yes</w:t>
            </w:r>
          </w:p>
        </w:tc>
        <w:tc>
          <w:tcPr>
            <w:tcW w:w="1384" w:type="dxa"/>
            <w:tcBorders>
              <w:top w:val="single" w:color="auto" w:sz="4" w:space="0"/>
              <w:left w:val="single" w:color="auto" w:sz="4" w:space="0"/>
              <w:bottom w:val="single" w:color="auto" w:sz="4" w:space="0"/>
              <w:right w:val="single" w:color="auto" w:sz="4" w:space="0"/>
            </w:tcBorders>
          </w:tcPr>
          <w:p>
            <w:pPr>
              <w:pStyle w:val="33"/>
              <w:rPr>
                <w:lang w:eastAsia="en-GB"/>
              </w:rPr>
            </w:pPr>
            <w:r>
              <w:rPr>
                <w:lang w:eastAsia="en-GB"/>
              </w:rPr>
              <w:t>Yes</w:t>
            </w:r>
          </w:p>
        </w:tc>
        <w:tc>
          <w:tcPr>
            <w:tcW w:w="1549" w:type="dxa"/>
            <w:tcBorders>
              <w:top w:val="single" w:color="auto" w:sz="4" w:space="0"/>
              <w:left w:val="single" w:color="auto" w:sz="4" w:space="0"/>
              <w:bottom w:val="single" w:color="auto" w:sz="4" w:space="0"/>
              <w:right w:val="single" w:color="auto" w:sz="4" w:space="0"/>
            </w:tcBorders>
          </w:tcPr>
          <w:p>
            <w:pPr>
              <w:pStyle w:val="33"/>
              <w:rPr>
                <w:lang w:eastAsia="en-GB"/>
              </w:rPr>
            </w:pPr>
          </w:p>
        </w:tc>
        <w:tc>
          <w:tcPr>
            <w:tcW w:w="1140" w:type="dxa"/>
            <w:tcBorders>
              <w:top w:val="single" w:color="auto" w:sz="4" w:space="0"/>
              <w:left w:val="single" w:color="auto" w:sz="4" w:space="0"/>
              <w:bottom w:val="single" w:color="auto" w:sz="4" w:space="0"/>
              <w:right w:val="single" w:color="auto" w:sz="4" w:space="0"/>
            </w:tcBorders>
          </w:tcPr>
          <w:p>
            <w:pPr>
              <w:pStyle w:val="33"/>
              <w:rPr>
                <w:lang w:eastAsia="en-GB"/>
              </w:rPr>
            </w:pPr>
          </w:p>
        </w:tc>
        <w:tc>
          <w:tcPr>
            <w:tcW w:w="1384" w:type="dxa"/>
            <w:tcBorders>
              <w:top w:val="single" w:color="auto" w:sz="4" w:space="0"/>
              <w:left w:val="single" w:color="auto" w:sz="4" w:space="0"/>
              <w:bottom w:val="single" w:color="auto" w:sz="4" w:space="0"/>
              <w:right w:val="single" w:color="auto" w:sz="4" w:space="0"/>
            </w:tcBorders>
          </w:tcPr>
          <w:p>
            <w:pPr>
              <w:pStyle w:val="33"/>
              <w:rPr>
                <w:lang w:eastAsia="en-GB"/>
              </w:rPr>
            </w:pPr>
          </w:p>
        </w:tc>
      </w:tr>
      <w:tr>
        <w:tblPrEx>
          <w:tblCellMar>
            <w:top w:w="0" w:type="dxa"/>
            <w:left w:w="108" w:type="dxa"/>
            <w:bottom w:w="0" w:type="dxa"/>
            <w:right w:w="108" w:type="dxa"/>
          </w:tblCellMar>
        </w:tblPrEx>
        <w:tc>
          <w:tcPr>
            <w:tcW w:w="1403" w:type="dxa"/>
            <w:tcBorders>
              <w:top w:val="single" w:color="auto" w:sz="4" w:space="0"/>
              <w:left w:val="single" w:color="auto" w:sz="4" w:space="0"/>
              <w:bottom w:val="single" w:color="auto" w:sz="4" w:space="0"/>
              <w:right w:val="single" w:color="auto" w:sz="4" w:space="0"/>
            </w:tcBorders>
            <w:vAlign w:val="center"/>
          </w:tcPr>
          <w:p>
            <w:pPr>
              <w:pStyle w:val="33"/>
              <w:rPr>
                <w:lang w:eastAsia="en-GB"/>
              </w:rPr>
            </w:pPr>
          </w:p>
        </w:tc>
        <w:tc>
          <w:tcPr>
            <w:tcW w:w="1385" w:type="dxa"/>
            <w:tcBorders>
              <w:top w:val="single" w:color="auto" w:sz="4" w:space="0"/>
              <w:left w:val="single" w:color="auto" w:sz="4" w:space="0"/>
              <w:bottom w:val="single" w:color="auto" w:sz="4" w:space="0"/>
              <w:right w:val="single" w:color="auto" w:sz="4" w:space="0"/>
            </w:tcBorders>
            <w:vAlign w:val="center"/>
          </w:tcPr>
          <w:p>
            <w:pPr>
              <w:pStyle w:val="33"/>
              <w:rPr>
                <w:lang w:eastAsia="en-GB"/>
              </w:rPr>
            </w:pPr>
            <w:r>
              <w:rPr>
                <w:lang w:eastAsia="en-GB"/>
              </w:rPr>
              <w:t>480</w:t>
            </w:r>
          </w:p>
        </w:tc>
        <w:tc>
          <w:tcPr>
            <w:tcW w:w="1384" w:type="dxa"/>
            <w:tcBorders>
              <w:top w:val="single" w:color="auto" w:sz="4" w:space="0"/>
              <w:left w:val="single" w:color="auto" w:sz="4" w:space="0"/>
              <w:bottom w:val="single" w:color="auto" w:sz="4" w:space="0"/>
              <w:right w:val="single" w:color="auto" w:sz="4" w:space="0"/>
            </w:tcBorders>
          </w:tcPr>
          <w:p>
            <w:pPr>
              <w:pStyle w:val="33"/>
              <w:rPr>
                <w:lang w:eastAsia="en-GB"/>
              </w:rPr>
            </w:pPr>
          </w:p>
        </w:tc>
        <w:tc>
          <w:tcPr>
            <w:tcW w:w="1384" w:type="dxa"/>
            <w:tcBorders>
              <w:top w:val="single" w:color="auto" w:sz="4" w:space="0"/>
              <w:left w:val="single" w:color="auto" w:sz="4" w:space="0"/>
              <w:bottom w:val="single" w:color="auto" w:sz="4" w:space="0"/>
              <w:right w:val="single" w:color="auto" w:sz="4" w:space="0"/>
            </w:tcBorders>
          </w:tcPr>
          <w:p>
            <w:pPr>
              <w:pStyle w:val="33"/>
              <w:rPr>
                <w:lang w:eastAsia="en-GB"/>
              </w:rPr>
            </w:pPr>
            <w:r>
              <w:rPr>
                <w:lang w:eastAsia="en-GB"/>
              </w:rPr>
              <w:t>Yes</w:t>
            </w:r>
          </w:p>
        </w:tc>
        <w:tc>
          <w:tcPr>
            <w:tcW w:w="1549" w:type="dxa"/>
            <w:tcBorders>
              <w:top w:val="single" w:color="auto" w:sz="4" w:space="0"/>
              <w:left w:val="single" w:color="auto" w:sz="4" w:space="0"/>
              <w:bottom w:val="single" w:color="auto" w:sz="4" w:space="0"/>
              <w:right w:val="single" w:color="auto" w:sz="4" w:space="0"/>
            </w:tcBorders>
          </w:tcPr>
          <w:p>
            <w:pPr>
              <w:pStyle w:val="33"/>
              <w:rPr>
                <w:lang w:eastAsia="en-GB"/>
              </w:rPr>
            </w:pPr>
            <w:r>
              <w:rPr>
                <w:lang w:eastAsia="en-GB"/>
              </w:rPr>
              <w:t>Yes</w:t>
            </w:r>
          </w:p>
        </w:tc>
        <w:tc>
          <w:tcPr>
            <w:tcW w:w="1140" w:type="dxa"/>
            <w:tcBorders>
              <w:top w:val="single" w:color="auto" w:sz="4" w:space="0"/>
              <w:left w:val="single" w:color="auto" w:sz="4" w:space="0"/>
              <w:bottom w:val="single" w:color="auto" w:sz="4" w:space="0"/>
              <w:right w:val="single" w:color="auto" w:sz="4" w:space="0"/>
            </w:tcBorders>
          </w:tcPr>
          <w:p>
            <w:pPr>
              <w:pStyle w:val="33"/>
              <w:rPr>
                <w:lang w:eastAsia="en-GB"/>
              </w:rPr>
            </w:pPr>
            <w:r>
              <w:rPr>
                <w:lang w:eastAsia="en-GB"/>
              </w:rPr>
              <w:t>Yes</w:t>
            </w:r>
          </w:p>
        </w:tc>
        <w:tc>
          <w:tcPr>
            <w:tcW w:w="1384" w:type="dxa"/>
            <w:tcBorders>
              <w:top w:val="single" w:color="auto" w:sz="4" w:space="0"/>
              <w:left w:val="single" w:color="auto" w:sz="4" w:space="0"/>
              <w:bottom w:val="single" w:color="auto" w:sz="4" w:space="0"/>
              <w:right w:val="single" w:color="auto" w:sz="4" w:space="0"/>
            </w:tcBorders>
          </w:tcPr>
          <w:p>
            <w:pPr>
              <w:pStyle w:val="33"/>
              <w:rPr>
                <w:lang w:eastAsia="en-GB"/>
              </w:rPr>
            </w:pPr>
          </w:p>
        </w:tc>
      </w:tr>
      <w:tr>
        <w:tblPrEx>
          <w:tblCellMar>
            <w:top w:w="0" w:type="dxa"/>
            <w:left w:w="108" w:type="dxa"/>
            <w:bottom w:w="0" w:type="dxa"/>
            <w:right w:w="108" w:type="dxa"/>
          </w:tblCellMar>
        </w:tblPrEx>
        <w:tc>
          <w:tcPr>
            <w:tcW w:w="1403" w:type="dxa"/>
            <w:tcBorders>
              <w:top w:val="single" w:color="auto" w:sz="4" w:space="0"/>
              <w:left w:val="single" w:color="auto" w:sz="4" w:space="0"/>
              <w:bottom w:val="single" w:color="auto" w:sz="4" w:space="0"/>
              <w:right w:val="single" w:color="auto" w:sz="4" w:space="0"/>
            </w:tcBorders>
            <w:vAlign w:val="center"/>
          </w:tcPr>
          <w:p>
            <w:pPr>
              <w:pStyle w:val="33"/>
              <w:rPr>
                <w:lang w:eastAsia="en-GB"/>
              </w:rPr>
            </w:pPr>
          </w:p>
        </w:tc>
        <w:tc>
          <w:tcPr>
            <w:tcW w:w="1385" w:type="dxa"/>
            <w:tcBorders>
              <w:top w:val="single" w:color="auto" w:sz="4" w:space="0"/>
              <w:left w:val="single" w:color="auto" w:sz="4" w:space="0"/>
              <w:bottom w:val="single" w:color="auto" w:sz="4" w:space="0"/>
              <w:right w:val="single" w:color="auto" w:sz="4" w:space="0"/>
            </w:tcBorders>
            <w:vAlign w:val="center"/>
          </w:tcPr>
          <w:p>
            <w:pPr>
              <w:pStyle w:val="33"/>
              <w:rPr>
                <w:lang w:eastAsia="en-GB"/>
              </w:rPr>
            </w:pPr>
            <w:r>
              <w:rPr>
                <w:lang w:eastAsia="en-GB"/>
              </w:rPr>
              <w:t>960</w:t>
            </w:r>
          </w:p>
        </w:tc>
        <w:tc>
          <w:tcPr>
            <w:tcW w:w="1384" w:type="dxa"/>
            <w:tcBorders>
              <w:top w:val="single" w:color="auto" w:sz="4" w:space="0"/>
              <w:left w:val="single" w:color="auto" w:sz="4" w:space="0"/>
              <w:bottom w:val="single" w:color="auto" w:sz="4" w:space="0"/>
              <w:right w:val="single" w:color="auto" w:sz="4" w:space="0"/>
            </w:tcBorders>
          </w:tcPr>
          <w:p>
            <w:pPr>
              <w:pStyle w:val="33"/>
              <w:rPr>
                <w:lang w:eastAsia="en-GB"/>
              </w:rPr>
            </w:pPr>
          </w:p>
        </w:tc>
        <w:tc>
          <w:tcPr>
            <w:tcW w:w="1384" w:type="dxa"/>
            <w:tcBorders>
              <w:top w:val="single" w:color="auto" w:sz="4" w:space="0"/>
              <w:left w:val="single" w:color="auto" w:sz="4" w:space="0"/>
              <w:bottom w:val="single" w:color="auto" w:sz="4" w:space="0"/>
              <w:right w:val="single" w:color="auto" w:sz="4" w:space="0"/>
            </w:tcBorders>
          </w:tcPr>
          <w:p>
            <w:pPr>
              <w:pStyle w:val="33"/>
              <w:rPr>
                <w:lang w:eastAsia="en-GB"/>
              </w:rPr>
            </w:pPr>
            <w:r>
              <w:rPr>
                <w:lang w:eastAsia="en-GB"/>
              </w:rPr>
              <w:t>Yes</w:t>
            </w:r>
          </w:p>
        </w:tc>
        <w:tc>
          <w:tcPr>
            <w:tcW w:w="1549" w:type="dxa"/>
            <w:tcBorders>
              <w:top w:val="single" w:color="auto" w:sz="4" w:space="0"/>
              <w:left w:val="single" w:color="auto" w:sz="4" w:space="0"/>
              <w:bottom w:val="single" w:color="auto" w:sz="4" w:space="0"/>
              <w:right w:val="single" w:color="auto" w:sz="4" w:space="0"/>
            </w:tcBorders>
          </w:tcPr>
          <w:p>
            <w:pPr>
              <w:pStyle w:val="33"/>
              <w:rPr>
                <w:lang w:eastAsia="en-GB"/>
              </w:rPr>
            </w:pPr>
            <w:r>
              <w:rPr>
                <w:lang w:eastAsia="en-GB"/>
              </w:rPr>
              <w:t>Yes</w:t>
            </w:r>
          </w:p>
        </w:tc>
        <w:tc>
          <w:tcPr>
            <w:tcW w:w="1140" w:type="dxa"/>
            <w:tcBorders>
              <w:top w:val="single" w:color="auto" w:sz="4" w:space="0"/>
              <w:left w:val="single" w:color="auto" w:sz="4" w:space="0"/>
              <w:bottom w:val="single" w:color="auto" w:sz="4" w:space="0"/>
              <w:right w:val="single" w:color="auto" w:sz="4" w:space="0"/>
            </w:tcBorders>
          </w:tcPr>
          <w:p>
            <w:pPr>
              <w:pStyle w:val="33"/>
              <w:rPr>
                <w:lang w:eastAsia="en-GB"/>
              </w:rPr>
            </w:pPr>
            <w:r>
              <w:rPr>
                <w:lang w:eastAsia="en-GB"/>
              </w:rPr>
              <w:t>Yes</w:t>
            </w:r>
          </w:p>
        </w:tc>
        <w:tc>
          <w:tcPr>
            <w:tcW w:w="1384" w:type="dxa"/>
            <w:tcBorders>
              <w:top w:val="single" w:color="auto" w:sz="4" w:space="0"/>
              <w:left w:val="single" w:color="auto" w:sz="4" w:space="0"/>
              <w:bottom w:val="single" w:color="auto" w:sz="4" w:space="0"/>
              <w:right w:val="single" w:color="auto" w:sz="4" w:space="0"/>
            </w:tcBorders>
          </w:tcPr>
          <w:p>
            <w:pPr>
              <w:pStyle w:val="33"/>
              <w:rPr>
                <w:lang w:eastAsia="en-GB"/>
              </w:rPr>
            </w:pPr>
            <w:r>
              <w:rPr>
                <w:lang w:eastAsia="en-GB"/>
              </w:rPr>
              <w:t>Yes</w:t>
            </w:r>
          </w:p>
        </w:tc>
      </w:tr>
    </w:tbl>
    <w:p>
      <w:pPr>
        <w:pBdr>
          <w:top w:val="none" w:color="auto" w:sz="0" w:space="0"/>
          <w:left w:val="none" w:color="auto" w:sz="0" w:space="0"/>
          <w:bottom w:val="none" w:color="000000" w:sz="0" w:space="0"/>
          <w:right w:val="none" w:color="auto" w:sz="0" w:space="0"/>
          <w:between w:val="none" w:color="auto" w:sz="0" w:space="0"/>
        </w:pBdr>
        <w:overflowPunct w:val="0"/>
        <w:autoSpaceDE w:val="0"/>
        <w:autoSpaceDN w:val="0"/>
        <w:adjustRightInd w:val="0"/>
        <w:jc w:val="both"/>
        <w:textAlignment w:val="baseline"/>
        <w:rPr>
          <w:rFonts w:hint="eastAsia" w:ascii="Times New Roman" w:hAnsi="Times New Roman" w:eastAsia="宋体" w:cs="Times New Roman"/>
          <w:sz w:val="20"/>
          <w:szCs w:val="22"/>
          <w:highlight w:val="none"/>
          <w:lang w:val="en-US" w:eastAsia="zh-CN"/>
        </w:rPr>
      </w:pPr>
    </w:p>
    <w:p>
      <w:pPr>
        <w:pStyle w:val="42"/>
        <w:rPr>
          <w:lang w:val="en-US"/>
        </w:rPr>
      </w:pPr>
      <w:r>
        <w:t>Table 4.7.2.1-2</w:t>
      </w:r>
      <w:r>
        <w:rPr>
          <w:rFonts w:hint="eastAsia"/>
          <w:lang w:val="en-US" w:eastAsia="zh-CN"/>
        </w:rPr>
        <w:t>a</w:t>
      </w:r>
      <w:r>
        <w:t xml:space="preserve">: Signal to be used to build NR TCs for </w:t>
      </w:r>
      <w:r>
        <w:rPr>
          <w:rFonts w:hint="eastAsia"/>
          <w:lang w:val="en-US" w:eastAsia="zh-CN"/>
        </w:rPr>
        <w:t xml:space="preserve">FR2-2 </w:t>
      </w:r>
      <w:r>
        <w:rPr>
          <w:i/>
        </w:rPr>
        <w:t>BS type 2-O</w:t>
      </w:r>
    </w:p>
    <w:tbl>
      <w:tblPr>
        <w:tblStyle w:val="2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2"/>
        <w:gridCol w:w="1968"/>
        <w:gridCol w:w="39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950" w:type="dxa"/>
            <w:gridSpan w:val="2"/>
            <w:shd w:val="clear" w:color="auto" w:fill="auto"/>
          </w:tcPr>
          <w:p>
            <w:pPr>
              <w:pStyle w:val="32"/>
              <w:rPr>
                <w:lang w:val="en-US" w:eastAsia="zh-CN"/>
              </w:rPr>
            </w:pPr>
            <w:r>
              <w:rPr>
                <w:i/>
                <w:lang w:val="en-US"/>
              </w:rPr>
              <w:t>Operating band</w:t>
            </w:r>
            <w:r>
              <w:rPr>
                <w:lang w:val="en-US"/>
              </w:rPr>
              <w:t xml:space="preserve"> characteristics</w:t>
            </w:r>
          </w:p>
        </w:tc>
        <w:tc>
          <w:tcPr>
            <w:tcW w:w="3936" w:type="dxa"/>
            <w:shd w:val="clear" w:color="auto" w:fill="auto"/>
          </w:tcPr>
          <w:p>
            <w:pPr>
              <w:pStyle w:val="32"/>
              <w:rPr>
                <w:lang w:val="en-US"/>
              </w:rPr>
            </w:pPr>
            <w:r>
              <w:t>F</w:t>
            </w:r>
            <w:r>
              <w:rPr>
                <w:vertAlign w:val="subscript"/>
              </w:rPr>
              <w:t>DL_high</w:t>
            </w:r>
            <w:r>
              <w:t xml:space="preserve"> – F</w:t>
            </w:r>
            <w:r>
              <w:rPr>
                <w:vertAlign w:val="subscript"/>
              </w:rPr>
              <w:t>DL_low</w:t>
            </w:r>
            <w:r>
              <w:t xml:space="preserve"> </w:t>
            </w:r>
            <w:r>
              <w:rPr>
                <w:rFonts w:cs="Arial"/>
              </w:rPr>
              <w:t>≤</w:t>
            </w:r>
            <w:r>
              <w:t xml:space="preserve"> </w:t>
            </w:r>
            <w:r>
              <w:rPr>
                <w:rFonts w:hint="eastAsia" w:eastAsia="宋体"/>
                <w:lang w:val="en-US" w:eastAsia="zh-CN"/>
              </w:rPr>
              <w:t>5000</w:t>
            </w:r>
            <w:r>
              <w:t xml:space="preserve">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82" w:type="dxa"/>
            <w:tcBorders>
              <w:bottom w:val="nil"/>
            </w:tcBorders>
            <w:shd w:val="clear" w:color="auto" w:fill="auto"/>
          </w:tcPr>
          <w:p>
            <w:pPr>
              <w:pStyle w:val="34"/>
              <w:rPr>
                <w:lang w:val="en-US"/>
              </w:rPr>
            </w:pPr>
            <w:r>
              <w:rPr>
                <w:lang w:val="en-US"/>
              </w:rPr>
              <w:t>TC signal</w:t>
            </w:r>
          </w:p>
        </w:tc>
        <w:tc>
          <w:tcPr>
            <w:tcW w:w="1968" w:type="dxa"/>
          </w:tcPr>
          <w:p>
            <w:pPr>
              <w:pStyle w:val="34"/>
              <w:rPr>
                <w:lang w:val="en-US"/>
              </w:rPr>
            </w:pPr>
            <w:r>
              <w:rPr>
                <w:lang w:val="en-US" w:eastAsia="zh-CN"/>
              </w:rPr>
              <w:t>BW</w:t>
            </w:r>
            <w:r>
              <w:rPr>
                <w:vertAlign w:val="subscript"/>
                <w:lang w:val="en-US" w:eastAsia="zh-CN"/>
              </w:rPr>
              <w:t>channel</w:t>
            </w:r>
          </w:p>
        </w:tc>
        <w:tc>
          <w:tcPr>
            <w:tcW w:w="3936" w:type="dxa"/>
            <w:shd w:val="clear" w:color="auto" w:fill="auto"/>
          </w:tcPr>
          <w:p>
            <w:pPr>
              <w:pStyle w:val="34"/>
              <w:rPr>
                <w:lang w:val="en-US"/>
              </w:rPr>
            </w:pPr>
            <w:r>
              <w:rPr>
                <w:rFonts w:hint="eastAsia"/>
                <w:lang w:val="en-US" w:eastAsia="zh-CN"/>
              </w:rPr>
              <w:t>400</w:t>
            </w:r>
            <w:r>
              <w:rPr>
                <w:lang w:val="en-US"/>
              </w:rPr>
              <w:t xml:space="preserve"> MHz (Note 1,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82" w:type="dxa"/>
            <w:tcBorders>
              <w:top w:val="nil"/>
            </w:tcBorders>
            <w:shd w:val="clear" w:color="auto" w:fill="auto"/>
          </w:tcPr>
          <w:p>
            <w:pPr>
              <w:pStyle w:val="34"/>
            </w:pPr>
            <w:r>
              <w:rPr>
                <w:lang w:val="en-US"/>
              </w:rPr>
              <w:t>characteristics</w:t>
            </w:r>
          </w:p>
        </w:tc>
        <w:tc>
          <w:tcPr>
            <w:tcW w:w="1968" w:type="dxa"/>
          </w:tcPr>
          <w:p>
            <w:pPr>
              <w:pStyle w:val="34"/>
              <w:rPr>
                <w:lang w:val="en-US"/>
              </w:rPr>
            </w:pPr>
            <w:r>
              <w:rPr>
                <w:lang w:val="en-US"/>
              </w:rPr>
              <w:t>Subcarrier spacing</w:t>
            </w:r>
          </w:p>
        </w:tc>
        <w:tc>
          <w:tcPr>
            <w:tcW w:w="3936" w:type="dxa"/>
            <w:shd w:val="clear" w:color="auto" w:fill="auto"/>
          </w:tcPr>
          <w:p>
            <w:pPr>
              <w:pStyle w:val="34"/>
              <w:rPr>
                <w:lang w:val="en-US"/>
              </w:rPr>
            </w:pPr>
            <w:r>
              <w:rPr>
                <w:lang w:val="en-US"/>
              </w:rPr>
              <w:t>Smallest supported subcarrier spacing declared per operating band (D.7)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886" w:type="dxa"/>
            <w:gridSpan w:val="3"/>
            <w:shd w:val="clear" w:color="auto" w:fill="auto"/>
          </w:tcPr>
          <w:p>
            <w:pPr>
              <w:pStyle w:val="46"/>
              <w:rPr>
                <w:lang w:val="en-US"/>
              </w:rPr>
            </w:pPr>
            <w:r>
              <w:rPr>
                <w:lang w:val="en-US"/>
              </w:rPr>
              <w:t>NOTE 1:</w:t>
            </w:r>
            <w:r>
              <w:rPr>
                <w:lang w:val="en-US"/>
              </w:rPr>
              <w:tab/>
            </w:r>
            <w:r>
              <w:t xml:space="preserve">BS vendor can decide to test with </w:t>
            </w:r>
            <w:r>
              <w:rPr>
                <w:rFonts w:hint="eastAsia"/>
                <w:lang w:val="en-US" w:eastAsia="zh-CN"/>
              </w:rPr>
              <w:t>10</w:t>
            </w:r>
            <w:r>
              <w:t xml:space="preserve">0 MHz </w:t>
            </w:r>
            <w:r>
              <w:rPr>
                <w:i/>
              </w:rPr>
              <w:t>BS channel bandwidth</w:t>
            </w:r>
            <w:r>
              <w:t xml:space="preserve"> and smallest supported SCS </w:t>
            </w:r>
            <w:r>
              <w:rPr>
                <w:lang w:eastAsia="zh-CN"/>
              </w:rPr>
              <w:t xml:space="preserve">declared per </w:t>
            </w:r>
            <w:r>
              <w:rPr>
                <w:i/>
                <w:lang w:eastAsia="zh-CN"/>
              </w:rPr>
              <w:t>operating band</w:t>
            </w:r>
            <w:r>
              <w:rPr>
                <w:lang w:eastAsia="zh-CN"/>
              </w:rPr>
              <w:t xml:space="preserve"> </w:t>
            </w:r>
            <w:r>
              <w:rPr>
                <w:lang w:val="en-US"/>
              </w:rPr>
              <w:t xml:space="preserve">(D.7) </w:t>
            </w:r>
            <w:r>
              <w:t xml:space="preserve">instead of </w:t>
            </w:r>
            <w:r>
              <w:rPr>
                <w:rFonts w:hint="eastAsia"/>
                <w:lang w:val="en-US" w:eastAsia="zh-CN"/>
              </w:rPr>
              <w:t>4</w:t>
            </w:r>
            <w:r>
              <w:t xml:space="preserve">00 MHz </w:t>
            </w:r>
            <w:r>
              <w:rPr>
                <w:i/>
              </w:rPr>
              <w:t>BS channel bandwidth</w:t>
            </w:r>
            <w:r>
              <w:t xml:space="preserve"> in certain regions, where spectrum allocation and regulation require testing with </w:t>
            </w:r>
            <w:r>
              <w:rPr>
                <w:rFonts w:hint="eastAsia"/>
                <w:lang w:val="en-US" w:eastAsia="zh-CN"/>
              </w:rPr>
              <w:t>10</w:t>
            </w:r>
            <w:r>
              <w:t>0 MHz.</w:t>
            </w:r>
          </w:p>
          <w:p>
            <w:pPr>
              <w:pStyle w:val="46"/>
              <w:rPr>
                <w:lang w:val="en-US"/>
              </w:rPr>
            </w:pPr>
            <w:r>
              <w:rPr>
                <w:lang w:val="en-US"/>
              </w:rPr>
              <w:t>NOTE 2:</w:t>
            </w:r>
            <w:r>
              <w:rPr>
                <w:lang w:val="en-US"/>
              </w:rPr>
              <w:tab/>
            </w:r>
            <w:r>
              <w:rPr>
                <w:lang w:val="en-US"/>
              </w:rPr>
              <w:t xml:space="preserve">If this </w:t>
            </w:r>
            <w:r>
              <w:rPr>
                <w:i/>
                <w:lang w:val="en-US"/>
              </w:rPr>
              <w:t>BS channel bandwidth</w:t>
            </w:r>
            <w:r>
              <w:rPr>
                <w:lang w:val="en-US"/>
              </w:rPr>
              <w:t xml:space="preserve"> is not supported, the narrowest supported </w:t>
            </w:r>
            <w:r>
              <w:rPr>
                <w:i/>
                <w:lang w:val="en-US"/>
              </w:rPr>
              <w:t>BS channel bandwidth</w:t>
            </w:r>
            <w:r>
              <w:rPr>
                <w:lang w:val="en-US"/>
              </w:rPr>
              <w:t xml:space="preserve"> </w:t>
            </w:r>
            <w:r>
              <w:rPr>
                <w:lang w:eastAsia="zh-CN"/>
              </w:rPr>
              <w:t xml:space="preserve">declared per </w:t>
            </w:r>
            <w:r>
              <w:rPr>
                <w:i/>
                <w:lang w:eastAsia="zh-CN"/>
              </w:rPr>
              <w:t>operating band</w:t>
            </w:r>
            <w:r>
              <w:rPr>
                <w:lang w:eastAsia="zh-CN"/>
              </w:rPr>
              <w:t xml:space="preserve"> (D.7) </w:t>
            </w:r>
            <w:r>
              <w:rPr>
                <w:lang w:val="en-US"/>
              </w:rPr>
              <w:t>shall be used.</w:t>
            </w:r>
          </w:p>
        </w:tc>
      </w:tr>
    </w:tbl>
    <w:p>
      <w:pPr>
        <w:pBdr>
          <w:top w:val="none" w:color="auto" w:sz="0" w:space="0"/>
          <w:left w:val="none" w:color="auto" w:sz="0" w:space="0"/>
          <w:bottom w:val="none" w:color="000000" w:sz="0" w:space="0"/>
          <w:right w:val="none" w:color="auto" w:sz="0" w:space="0"/>
          <w:between w:val="none" w:color="auto" w:sz="0" w:space="0"/>
        </w:pBdr>
        <w:overflowPunct w:val="0"/>
        <w:autoSpaceDE w:val="0"/>
        <w:autoSpaceDN w:val="0"/>
        <w:adjustRightInd w:val="0"/>
        <w:jc w:val="both"/>
        <w:textAlignment w:val="baseline"/>
        <w:rPr>
          <w:rFonts w:hint="eastAsia" w:ascii="Times New Roman" w:hAnsi="Times New Roman" w:eastAsia="宋体" w:cs="Times New Roman"/>
          <w:sz w:val="20"/>
          <w:szCs w:val="22"/>
          <w:highlight w:val="none"/>
          <w:lang w:val="en-US" w:eastAsia="zh-CN"/>
        </w:rPr>
      </w:pPr>
    </w:p>
    <w:p>
      <w:pPr>
        <w:pBdr>
          <w:top w:val="none" w:color="auto" w:sz="0" w:space="0"/>
          <w:left w:val="none" w:color="auto" w:sz="0" w:space="0"/>
          <w:bottom w:val="none" w:color="000000" w:sz="0" w:space="0"/>
          <w:right w:val="none" w:color="auto" w:sz="0" w:space="0"/>
          <w:between w:val="none" w:color="auto" w:sz="0" w:space="0"/>
        </w:pBdr>
        <w:overflowPunct w:val="0"/>
        <w:autoSpaceDE w:val="0"/>
        <w:autoSpaceDN w:val="0"/>
        <w:adjustRightInd w:val="0"/>
        <w:jc w:val="both"/>
        <w:textAlignment w:val="baseline"/>
        <w:rPr>
          <w:rFonts w:hint="eastAsia" w:ascii="Times New Roman" w:hAnsi="Times New Roman" w:eastAsia="宋体" w:cs="Times New Roman"/>
          <w:b w:val="0"/>
          <w:bCs w:val="0"/>
          <w:sz w:val="20"/>
          <w:szCs w:val="22"/>
          <w:highlight w:val="none"/>
          <w:lang w:val="en-US" w:eastAsia="zh-CN"/>
        </w:rPr>
      </w:pPr>
      <w:r>
        <w:rPr>
          <w:rFonts w:hint="eastAsia" w:ascii="Times New Roman" w:hAnsi="Times New Roman" w:eastAsia="宋体" w:cs="Times New Roman"/>
          <w:b/>
          <w:bCs/>
          <w:sz w:val="20"/>
          <w:szCs w:val="22"/>
          <w:highlight w:val="none"/>
          <w:lang w:val="en-US" w:eastAsia="zh-CN"/>
        </w:rPr>
        <w:t>Proposal 1:</w:t>
      </w:r>
      <w:r>
        <w:rPr>
          <w:rFonts w:hint="eastAsia" w:ascii="Times New Roman" w:hAnsi="Times New Roman" w:eastAsia="宋体" w:cs="Times New Roman"/>
          <w:b w:val="0"/>
          <w:bCs w:val="0"/>
          <w:sz w:val="20"/>
          <w:szCs w:val="22"/>
          <w:highlight w:val="none"/>
          <w:lang w:val="en-US" w:eastAsia="zh-CN"/>
        </w:rPr>
        <w:t xml:space="preserve"> to</w:t>
      </w:r>
      <w:r>
        <w:rPr>
          <w:rFonts w:hint="eastAsia" w:cs="Times New Roman"/>
          <w:b w:val="0"/>
          <w:bCs w:val="0"/>
          <w:sz w:val="20"/>
          <w:szCs w:val="22"/>
          <w:highlight w:val="none"/>
          <w:lang w:val="en-US" w:eastAsia="zh-CN"/>
        </w:rPr>
        <w:t xml:space="preserve"> define the TC signals for 52.6-71GHz as shown in Table </w:t>
      </w:r>
      <w:r>
        <w:t>Table 4.7.2.1-2</w:t>
      </w:r>
      <w:r>
        <w:rPr>
          <w:rFonts w:hint="eastAsia"/>
          <w:lang w:val="en-US" w:eastAsia="zh-CN"/>
        </w:rPr>
        <w:t>a.</w:t>
      </w:r>
    </w:p>
    <w:p>
      <w:pPr>
        <w:pBdr>
          <w:top w:val="none" w:color="auto" w:sz="0" w:space="0"/>
          <w:left w:val="none" w:color="auto" w:sz="0" w:space="0"/>
          <w:bottom w:val="none" w:color="000000" w:sz="0" w:space="0"/>
          <w:right w:val="none" w:color="auto" w:sz="0" w:space="0"/>
          <w:between w:val="none" w:color="auto" w:sz="0" w:space="0"/>
        </w:pBdr>
        <w:overflowPunct w:val="0"/>
        <w:autoSpaceDE w:val="0"/>
        <w:autoSpaceDN w:val="0"/>
        <w:adjustRightInd w:val="0"/>
        <w:jc w:val="both"/>
        <w:textAlignment w:val="baseline"/>
        <w:rPr>
          <w:rFonts w:hint="default" w:ascii="Times New Roman" w:hAnsi="Times New Roman" w:eastAsia="宋体" w:cs="Times New Roman"/>
          <w:b w:val="0"/>
          <w:bCs w:val="0"/>
          <w:sz w:val="20"/>
          <w:szCs w:val="22"/>
          <w:highlight w:val="none"/>
          <w:lang w:val="en-US" w:eastAsia="zh-CN"/>
        </w:rPr>
      </w:pPr>
      <w:r>
        <w:rPr>
          <w:rFonts w:hint="eastAsia" w:ascii="Times New Roman" w:hAnsi="Times New Roman" w:eastAsia="宋体" w:cs="Times New Roman"/>
          <w:b w:val="0"/>
          <w:bCs w:val="0"/>
          <w:sz w:val="20"/>
          <w:szCs w:val="22"/>
          <w:highlight w:val="none"/>
          <w:lang w:val="en-US" w:eastAsia="zh-CN"/>
        </w:rPr>
        <w:t>Secondly, in the following table, we provide some initial analysis for the applicability of</w:t>
      </w:r>
      <w:r>
        <w:rPr>
          <w:rFonts w:hint="eastAsia" w:cs="Times New Roman"/>
          <w:b w:val="0"/>
          <w:bCs w:val="0"/>
          <w:sz w:val="20"/>
          <w:szCs w:val="22"/>
          <w:highlight w:val="none"/>
          <w:lang w:val="en-US" w:eastAsia="zh-CN"/>
        </w:rPr>
        <w:t xml:space="preserve"> </w:t>
      </w:r>
      <w:r>
        <w:rPr>
          <w:rFonts w:hint="eastAsia" w:ascii="Times New Roman" w:hAnsi="Times New Roman" w:eastAsia="宋体" w:cs="Times New Roman"/>
          <w:b w:val="0"/>
          <w:bCs w:val="0"/>
          <w:sz w:val="20"/>
          <w:szCs w:val="22"/>
          <w:highlight w:val="none"/>
          <w:lang w:val="en-US" w:eastAsia="zh-CN"/>
        </w:rPr>
        <w:t xml:space="preserve">test configurations </w:t>
      </w:r>
      <w:r>
        <w:rPr>
          <w:rFonts w:hint="eastAsia" w:cs="Times New Roman"/>
          <w:b w:val="0"/>
          <w:bCs w:val="0"/>
          <w:sz w:val="20"/>
          <w:szCs w:val="22"/>
          <w:highlight w:val="none"/>
          <w:lang w:val="en-US" w:eastAsia="zh-CN"/>
        </w:rPr>
        <w:t>for 52.6-71GHz,</w:t>
      </w:r>
      <w:r>
        <w:rPr>
          <w:rFonts w:hint="eastAsia" w:ascii="Times New Roman" w:hAnsi="Times New Roman" w:eastAsia="宋体" w:cs="Times New Roman"/>
          <w:b w:val="0"/>
          <w:bCs w:val="0"/>
          <w:sz w:val="20"/>
          <w:szCs w:val="22"/>
          <w:highlight w:val="none"/>
          <w:lang w:val="en-US" w:eastAsia="zh-CN"/>
        </w:rPr>
        <w:t xml:space="preserve"> </w:t>
      </w:r>
      <w:r>
        <w:rPr>
          <w:rFonts w:hint="eastAsia" w:cs="Times New Roman"/>
          <w:b w:val="0"/>
          <w:bCs w:val="0"/>
          <w:sz w:val="20"/>
          <w:szCs w:val="22"/>
          <w:highlight w:val="none"/>
          <w:lang w:val="en-US" w:eastAsia="zh-CN"/>
        </w:rPr>
        <w:t>t</w:t>
      </w:r>
      <w:r>
        <w:rPr>
          <w:rFonts w:hint="eastAsia" w:ascii="Times New Roman" w:hAnsi="Times New Roman" w:eastAsia="宋体" w:cs="Times New Roman"/>
          <w:b w:val="0"/>
          <w:bCs w:val="0"/>
          <w:sz w:val="20"/>
          <w:szCs w:val="22"/>
          <w:highlight w:val="none"/>
          <w:lang w:val="en-US" w:eastAsia="zh-CN"/>
        </w:rPr>
        <w:t>he detailed reasoning is provided as following.</w:t>
      </w:r>
      <w:r>
        <w:rPr>
          <w:rFonts w:hint="eastAsia" w:cs="Times New Roman"/>
          <w:b w:val="0"/>
          <w:bCs w:val="0"/>
          <w:sz w:val="20"/>
          <w:szCs w:val="22"/>
          <w:highlight w:val="none"/>
          <w:lang w:val="en-US" w:eastAsia="zh-CN"/>
        </w:rPr>
        <w:t xml:space="preserve"> There is no need to update test configuration in the existing spec TS 38.141-2, the following analysis is just informative for the conformance testing requirement drafting.</w:t>
      </w:r>
    </w:p>
    <w:p>
      <w:pPr>
        <w:pBdr>
          <w:top w:val="none" w:color="auto" w:sz="0" w:space="0"/>
          <w:left w:val="none" w:color="auto" w:sz="0" w:space="0"/>
          <w:bottom w:val="none" w:color="000000" w:sz="0" w:space="0"/>
          <w:right w:val="none" w:color="auto" w:sz="0" w:space="0"/>
          <w:between w:val="none" w:color="auto" w:sz="0" w:space="0"/>
        </w:pBdr>
        <w:overflowPunct w:val="0"/>
        <w:autoSpaceDE w:val="0"/>
        <w:autoSpaceDN w:val="0"/>
        <w:adjustRightInd w:val="0"/>
        <w:jc w:val="both"/>
        <w:textAlignment w:val="baseline"/>
        <w:rPr>
          <w:rFonts w:hint="eastAsia" w:ascii="Times New Roman" w:hAnsi="Times New Roman" w:eastAsia="宋体" w:cs="Times New Roman"/>
          <w:sz w:val="20"/>
          <w:szCs w:val="22"/>
          <w:highlight w:val="none"/>
          <w:lang w:val="en-US" w:eastAsia="zh-CN"/>
        </w:rPr>
      </w:pP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981"/>
        <w:gridCol w:w="49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81" w:type="dxa"/>
            <w:shd w:val="clear" w:color="auto" w:fill="BEBEBE"/>
            <w:noWrap w:val="0"/>
            <w:vAlign w:val="top"/>
          </w:tcPr>
          <w:p>
            <w:pPr>
              <w:overflowPunct w:val="0"/>
              <w:autoSpaceDE w:val="0"/>
              <w:autoSpaceDN w:val="0"/>
              <w:adjustRightInd w:val="0"/>
              <w:jc w:val="both"/>
              <w:textAlignment w:val="baseline"/>
              <w:rPr>
                <w:rFonts w:hint="default" w:ascii="Times New Roman" w:hAnsi="Times New Roman" w:eastAsia="宋体" w:cs="Times New Roman"/>
                <w:sz w:val="20"/>
                <w:szCs w:val="22"/>
                <w:highlight w:val="none"/>
                <w:vertAlign w:val="baseline"/>
                <w:lang w:val="en-US" w:eastAsia="zh-CN"/>
              </w:rPr>
            </w:pPr>
            <w:r>
              <w:rPr>
                <w:rFonts w:hint="eastAsia" w:ascii="Times New Roman" w:hAnsi="Times New Roman" w:eastAsia="宋体" w:cs="Times New Roman"/>
                <w:b/>
                <w:bCs/>
                <w:sz w:val="20"/>
                <w:szCs w:val="22"/>
                <w:highlight w:val="none"/>
                <w:vertAlign w:val="baseline"/>
                <w:lang w:val="en-US" w:eastAsia="zh-CN"/>
              </w:rPr>
              <w:t>Test configuration in TS38.141-1</w:t>
            </w:r>
          </w:p>
        </w:tc>
        <w:tc>
          <w:tcPr>
            <w:tcW w:w="4981" w:type="dxa"/>
            <w:shd w:val="clear" w:color="auto" w:fill="BEBEBE"/>
            <w:noWrap w:val="0"/>
            <w:vAlign w:val="top"/>
          </w:tcPr>
          <w:p>
            <w:pPr>
              <w:overflowPunct w:val="0"/>
              <w:autoSpaceDE w:val="0"/>
              <w:autoSpaceDN w:val="0"/>
              <w:adjustRightInd w:val="0"/>
              <w:jc w:val="both"/>
              <w:textAlignment w:val="baseline"/>
              <w:rPr>
                <w:rFonts w:hint="default" w:ascii="Times New Roman" w:hAnsi="Times New Roman" w:eastAsia="宋体" w:cs="Times New Roman"/>
                <w:sz w:val="20"/>
                <w:szCs w:val="22"/>
                <w:highlight w:val="none"/>
                <w:vertAlign w:val="baseline"/>
                <w:lang w:val="en-US" w:eastAsia="zh-CN"/>
              </w:rPr>
            </w:pPr>
            <w:r>
              <w:rPr>
                <w:rFonts w:hint="eastAsia" w:ascii="Times New Roman" w:hAnsi="Times New Roman" w:eastAsia="宋体" w:cs="Times New Roman"/>
                <w:b/>
                <w:bCs/>
                <w:sz w:val="20"/>
                <w:szCs w:val="22"/>
                <w:highlight w:val="none"/>
                <w:vertAlign w:val="baseline"/>
                <w:lang w:val="en-US" w:eastAsia="zh-CN"/>
              </w:rPr>
              <w:t xml:space="preserve">Applicability for </w:t>
            </w:r>
            <w:r>
              <w:rPr>
                <w:rFonts w:hint="eastAsia" w:cs="Times New Roman"/>
                <w:b/>
                <w:bCs/>
                <w:sz w:val="20"/>
                <w:szCs w:val="22"/>
                <w:highlight w:val="none"/>
                <w:vertAlign w:val="baseline"/>
                <w:lang w:val="en-US" w:eastAsia="zh-CN"/>
              </w:rPr>
              <w:t>52.6-71GHz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81" w:type="dxa"/>
            <w:noWrap w:val="0"/>
            <w:vAlign w:val="top"/>
          </w:tcPr>
          <w:p>
            <w:pPr>
              <w:overflowPunct w:val="0"/>
              <w:autoSpaceDE w:val="0"/>
              <w:autoSpaceDN w:val="0"/>
              <w:adjustRightInd w:val="0"/>
              <w:jc w:val="both"/>
              <w:textAlignment w:val="baseline"/>
              <w:rPr>
                <w:rFonts w:hint="eastAsia" w:ascii="Times New Roman" w:hAnsi="Times New Roman" w:eastAsia="宋体" w:cs="Times New Roman"/>
                <w:sz w:val="20"/>
                <w:szCs w:val="22"/>
                <w:highlight w:val="none"/>
                <w:vertAlign w:val="baseline"/>
                <w:lang w:val="en-US" w:eastAsia="zh-CN"/>
              </w:rPr>
            </w:pPr>
            <w:r>
              <w:rPr>
                <w:rFonts w:hint="eastAsia" w:ascii="Times New Roman" w:hAnsi="Times New Roman" w:eastAsia="宋体" w:cs="Times New Roman"/>
                <w:sz w:val="20"/>
                <w:szCs w:val="22"/>
                <w:highlight w:val="none"/>
                <w:vertAlign w:val="baseline"/>
                <w:lang w:val="en-US" w:eastAsia="zh-CN"/>
              </w:rPr>
              <w:t>NRTC1: Contiguous spectrum operation</w:t>
            </w:r>
          </w:p>
        </w:tc>
        <w:tc>
          <w:tcPr>
            <w:tcW w:w="4981" w:type="dxa"/>
            <w:noWrap w:val="0"/>
            <w:vAlign w:val="top"/>
          </w:tcPr>
          <w:p>
            <w:pPr>
              <w:overflowPunct w:val="0"/>
              <w:autoSpaceDE w:val="0"/>
              <w:autoSpaceDN w:val="0"/>
              <w:adjustRightInd w:val="0"/>
              <w:jc w:val="both"/>
              <w:textAlignment w:val="baseline"/>
              <w:rPr>
                <w:rFonts w:hint="default" w:ascii="Times New Roman" w:hAnsi="Times New Roman" w:eastAsia="宋体" w:cs="Times New Roman"/>
                <w:sz w:val="20"/>
                <w:szCs w:val="22"/>
                <w:highlight w:val="none"/>
                <w:vertAlign w:val="baseline"/>
                <w:lang w:val="en-US" w:eastAsia="zh-CN"/>
              </w:rPr>
            </w:pPr>
            <w:r>
              <w:rPr>
                <w:rFonts w:hint="eastAsia" w:cs="Times New Roman"/>
                <w:sz w:val="20"/>
                <w:szCs w:val="22"/>
                <w:highlight w:val="none"/>
                <w:vertAlign w:val="baseline"/>
                <w:lang w:val="en-US" w:eastAsia="zh-CN"/>
              </w:rPr>
              <w:t xml:space="preserve">Applicable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81" w:type="dxa"/>
            <w:noWrap w:val="0"/>
            <w:vAlign w:val="top"/>
          </w:tcPr>
          <w:p>
            <w:pPr>
              <w:overflowPunct w:val="0"/>
              <w:autoSpaceDE w:val="0"/>
              <w:autoSpaceDN w:val="0"/>
              <w:adjustRightInd w:val="0"/>
              <w:jc w:val="both"/>
              <w:textAlignment w:val="baseline"/>
              <w:rPr>
                <w:rFonts w:hint="eastAsia" w:ascii="Times New Roman" w:hAnsi="Times New Roman" w:eastAsia="宋体" w:cs="Times New Roman"/>
                <w:sz w:val="20"/>
                <w:szCs w:val="22"/>
                <w:highlight w:val="none"/>
                <w:vertAlign w:val="baseline"/>
                <w:lang w:val="en-US" w:eastAsia="zh-CN"/>
              </w:rPr>
            </w:pPr>
            <w:r>
              <w:rPr>
                <w:rFonts w:hint="eastAsia" w:ascii="Times New Roman" w:hAnsi="Times New Roman" w:eastAsia="宋体" w:cs="Times New Roman"/>
                <w:sz w:val="20"/>
                <w:szCs w:val="22"/>
                <w:highlight w:val="none"/>
                <w:vertAlign w:val="baseline"/>
                <w:lang w:val="en-US" w:eastAsia="zh-CN"/>
              </w:rPr>
              <w:t>NRTC2: Contiguous CA occupied bandwidth</w:t>
            </w:r>
          </w:p>
        </w:tc>
        <w:tc>
          <w:tcPr>
            <w:tcW w:w="4981" w:type="dxa"/>
            <w:noWrap w:val="0"/>
            <w:vAlign w:val="top"/>
          </w:tcPr>
          <w:p>
            <w:pPr>
              <w:overflowPunct w:val="0"/>
              <w:autoSpaceDE w:val="0"/>
              <w:autoSpaceDN w:val="0"/>
              <w:adjustRightInd w:val="0"/>
              <w:jc w:val="both"/>
              <w:textAlignment w:val="baseline"/>
              <w:rPr>
                <w:rFonts w:hint="default" w:ascii="Times New Roman" w:hAnsi="Times New Roman" w:eastAsia="宋体" w:cs="Times New Roman"/>
                <w:sz w:val="20"/>
                <w:szCs w:val="22"/>
                <w:highlight w:val="none"/>
                <w:vertAlign w:val="baseline"/>
                <w:lang w:val="en-US" w:eastAsia="zh-CN"/>
              </w:rPr>
            </w:pPr>
            <w:r>
              <w:rPr>
                <w:rFonts w:hint="eastAsia" w:cs="Times New Roman"/>
                <w:sz w:val="20"/>
                <w:szCs w:val="22"/>
                <w:highlight w:val="none"/>
                <w:vertAlign w:val="baseline"/>
                <w:lang w:val="en-US" w:eastAsia="zh-CN"/>
              </w:rPr>
              <w:t xml:space="preserve">Applicable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81" w:type="dxa"/>
            <w:noWrap w:val="0"/>
            <w:vAlign w:val="top"/>
          </w:tcPr>
          <w:p>
            <w:pPr>
              <w:overflowPunct w:val="0"/>
              <w:autoSpaceDE w:val="0"/>
              <w:autoSpaceDN w:val="0"/>
              <w:adjustRightInd w:val="0"/>
              <w:jc w:val="both"/>
              <w:textAlignment w:val="baseline"/>
              <w:rPr>
                <w:rFonts w:hint="eastAsia" w:ascii="Times New Roman" w:hAnsi="Times New Roman" w:eastAsia="宋体" w:cs="Times New Roman"/>
                <w:sz w:val="20"/>
                <w:szCs w:val="22"/>
                <w:highlight w:val="none"/>
                <w:vertAlign w:val="baseline"/>
                <w:lang w:val="en-US" w:eastAsia="zh-CN"/>
              </w:rPr>
            </w:pPr>
            <w:r>
              <w:rPr>
                <w:rFonts w:hint="eastAsia" w:ascii="Times New Roman" w:hAnsi="Times New Roman" w:eastAsia="宋体" w:cs="Times New Roman"/>
                <w:sz w:val="20"/>
                <w:szCs w:val="22"/>
                <w:highlight w:val="none"/>
                <w:vertAlign w:val="baseline"/>
                <w:lang w:val="en-US" w:eastAsia="zh-CN"/>
              </w:rPr>
              <w:t>NRTC3: Non-contiguous spectrum operation</w:t>
            </w:r>
          </w:p>
        </w:tc>
        <w:tc>
          <w:tcPr>
            <w:tcW w:w="4981" w:type="dxa"/>
            <w:noWrap w:val="0"/>
            <w:vAlign w:val="top"/>
          </w:tcPr>
          <w:p>
            <w:pPr>
              <w:overflowPunct w:val="0"/>
              <w:autoSpaceDE w:val="0"/>
              <w:autoSpaceDN w:val="0"/>
              <w:adjustRightInd w:val="0"/>
              <w:jc w:val="both"/>
              <w:textAlignment w:val="baseline"/>
              <w:rPr>
                <w:rFonts w:hint="default" w:ascii="Times New Roman" w:hAnsi="Times New Roman" w:eastAsia="宋体" w:cs="Times New Roman"/>
                <w:sz w:val="20"/>
                <w:szCs w:val="22"/>
                <w:highlight w:val="none"/>
                <w:vertAlign w:val="baseline"/>
                <w:lang w:val="en-US" w:eastAsia="zh-CN"/>
              </w:rPr>
            </w:pPr>
            <w:r>
              <w:rPr>
                <w:rFonts w:hint="eastAsia" w:cs="Times New Roman"/>
                <w:sz w:val="20"/>
                <w:szCs w:val="22"/>
                <w:highlight w:val="none"/>
                <w:vertAlign w:val="baseline"/>
                <w:lang w:val="en-US" w:eastAsia="zh-CN"/>
              </w:rPr>
              <w:t>Not applicable, for intra-band non-contiguous CA has been down-scope in Rel-17 based on the RAN#95e agreement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81" w:type="dxa"/>
            <w:noWrap w:val="0"/>
            <w:vAlign w:val="top"/>
          </w:tcPr>
          <w:p>
            <w:pPr>
              <w:overflowPunct w:val="0"/>
              <w:autoSpaceDE w:val="0"/>
              <w:autoSpaceDN w:val="0"/>
              <w:adjustRightInd w:val="0"/>
              <w:jc w:val="both"/>
              <w:textAlignment w:val="baseline"/>
              <w:rPr>
                <w:rFonts w:hint="eastAsia" w:ascii="Times New Roman" w:hAnsi="Times New Roman" w:eastAsia="宋体" w:cs="Times New Roman"/>
                <w:sz w:val="20"/>
                <w:szCs w:val="22"/>
                <w:highlight w:val="none"/>
                <w:vertAlign w:val="baseline"/>
                <w:lang w:val="en-US" w:eastAsia="zh-CN"/>
              </w:rPr>
            </w:pPr>
            <w:r>
              <w:rPr>
                <w:rFonts w:hint="eastAsia" w:ascii="Times New Roman" w:hAnsi="Times New Roman" w:eastAsia="宋体" w:cs="Times New Roman"/>
                <w:sz w:val="20"/>
                <w:szCs w:val="22"/>
                <w:highlight w:val="none"/>
                <w:vertAlign w:val="baseline"/>
                <w:lang w:val="en-US" w:eastAsia="zh-CN"/>
              </w:rPr>
              <w:t>NRTC4: Multi-band test configuration for full carrier allocation</w:t>
            </w:r>
          </w:p>
        </w:tc>
        <w:tc>
          <w:tcPr>
            <w:tcW w:w="4981" w:type="dxa"/>
            <w:noWrap w:val="0"/>
            <w:vAlign w:val="top"/>
          </w:tcPr>
          <w:p>
            <w:pPr>
              <w:overflowPunct w:val="0"/>
              <w:autoSpaceDE w:val="0"/>
              <w:autoSpaceDN w:val="0"/>
              <w:adjustRightInd w:val="0"/>
              <w:jc w:val="both"/>
              <w:textAlignment w:val="baseline"/>
              <w:rPr>
                <w:rFonts w:hint="default" w:ascii="Times New Roman" w:hAnsi="Times New Roman" w:eastAsia="宋体" w:cs="Times New Roman"/>
                <w:sz w:val="20"/>
                <w:szCs w:val="22"/>
                <w:highlight w:val="none"/>
                <w:vertAlign w:val="baseline"/>
                <w:lang w:val="en-US" w:eastAsia="zh-CN"/>
              </w:rPr>
            </w:pPr>
            <w:r>
              <w:rPr>
                <w:rFonts w:hint="eastAsia" w:cs="Times New Roman"/>
                <w:sz w:val="20"/>
                <w:szCs w:val="22"/>
                <w:highlight w:val="none"/>
                <w:vertAlign w:val="baseline"/>
                <w:lang w:val="en-US" w:eastAsia="zh-CN"/>
              </w:rPr>
              <w:t>Not applicable, multi-band operation is not applicable for FR2-2 in Rel-17 and will be discussed in Rel-18 in FR2-1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81" w:type="dxa"/>
            <w:noWrap w:val="0"/>
            <w:vAlign w:val="top"/>
          </w:tcPr>
          <w:p>
            <w:pPr>
              <w:overflowPunct w:val="0"/>
              <w:autoSpaceDE w:val="0"/>
              <w:autoSpaceDN w:val="0"/>
              <w:adjustRightInd w:val="0"/>
              <w:jc w:val="both"/>
              <w:textAlignment w:val="baseline"/>
              <w:rPr>
                <w:rFonts w:hint="eastAsia" w:ascii="Times New Roman" w:hAnsi="Times New Roman" w:eastAsia="宋体" w:cs="Times New Roman"/>
                <w:sz w:val="20"/>
                <w:szCs w:val="22"/>
                <w:highlight w:val="none"/>
                <w:vertAlign w:val="baseline"/>
                <w:lang w:val="en-US" w:eastAsia="zh-CN"/>
              </w:rPr>
            </w:pPr>
            <w:r>
              <w:rPr>
                <w:rFonts w:hint="eastAsia" w:ascii="Times New Roman" w:hAnsi="Times New Roman" w:eastAsia="宋体" w:cs="Times New Roman"/>
                <w:sz w:val="20"/>
                <w:szCs w:val="22"/>
                <w:highlight w:val="none"/>
                <w:vertAlign w:val="baseline"/>
                <w:lang w:val="en-US" w:eastAsia="zh-CN"/>
              </w:rPr>
              <w:t>NRTC5: Multi-band test configuration with high PSD per carrier</w:t>
            </w:r>
          </w:p>
        </w:tc>
        <w:tc>
          <w:tcPr>
            <w:tcW w:w="4981" w:type="dxa"/>
            <w:noWrap w:val="0"/>
            <w:vAlign w:val="top"/>
          </w:tcPr>
          <w:p>
            <w:pPr>
              <w:overflowPunct w:val="0"/>
              <w:autoSpaceDE w:val="0"/>
              <w:autoSpaceDN w:val="0"/>
              <w:adjustRightInd w:val="0"/>
              <w:jc w:val="both"/>
              <w:textAlignment w:val="baseline"/>
              <w:rPr>
                <w:rFonts w:hint="default" w:ascii="Times New Roman" w:hAnsi="Times New Roman" w:eastAsia="宋体" w:cs="Times New Roman"/>
                <w:sz w:val="20"/>
                <w:szCs w:val="22"/>
                <w:highlight w:val="none"/>
                <w:vertAlign w:val="baseline"/>
                <w:lang w:val="en-US" w:eastAsia="zh-CN"/>
              </w:rPr>
            </w:pPr>
            <w:r>
              <w:rPr>
                <w:rFonts w:hint="eastAsia" w:cs="Times New Roman"/>
                <w:sz w:val="20"/>
                <w:szCs w:val="22"/>
                <w:highlight w:val="none"/>
                <w:vertAlign w:val="baseline"/>
                <w:lang w:val="en-US" w:eastAsia="zh-CN"/>
              </w:rPr>
              <w:t>Not applicable, multi-band operation is not applicable for FR2-2 in Rel-17 and will be discussed in Rel-18 in FR2-1</w:t>
            </w:r>
          </w:p>
        </w:tc>
      </w:tr>
    </w:tbl>
    <w:p>
      <w:pPr>
        <w:pBdr>
          <w:top w:val="none" w:color="auto" w:sz="0" w:space="0"/>
          <w:left w:val="none" w:color="auto" w:sz="0" w:space="0"/>
          <w:bottom w:val="none" w:color="000000" w:sz="0" w:space="0"/>
          <w:right w:val="none" w:color="auto" w:sz="0" w:space="0"/>
          <w:between w:val="none" w:color="auto" w:sz="0" w:space="0"/>
        </w:pBdr>
        <w:overflowPunct w:val="0"/>
        <w:autoSpaceDE w:val="0"/>
        <w:autoSpaceDN w:val="0"/>
        <w:adjustRightInd w:val="0"/>
        <w:jc w:val="both"/>
        <w:textAlignment w:val="baseline"/>
        <w:rPr>
          <w:rFonts w:hint="default" w:ascii="Times New Roman" w:hAnsi="Times New Roman" w:eastAsia="宋体" w:cs="Times New Roman"/>
          <w:sz w:val="20"/>
          <w:szCs w:val="22"/>
          <w:highlight w:val="none"/>
          <w:lang w:val="en-US" w:eastAsia="zh-CN"/>
        </w:rPr>
      </w:pPr>
      <w:r>
        <w:rPr>
          <w:rFonts w:hint="eastAsia" w:cs="Times New Roman"/>
          <w:b/>
          <w:bCs/>
          <w:sz w:val="20"/>
          <w:szCs w:val="22"/>
          <w:highlight w:val="none"/>
          <w:lang w:val="en-US" w:eastAsia="zh-CN"/>
        </w:rPr>
        <w:t>Proposal 2:</w:t>
      </w:r>
      <w:r>
        <w:rPr>
          <w:rFonts w:hint="eastAsia" w:cs="Times New Roman"/>
          <w:sz w:val="20"/>
          <w:szCs w:val="22"/>
          <w:highlight w:val="none"/>
          <w:lang w:val="en-US" w:eastAsia="zh-CN"/>
        </w:rPr>
        <w:t xml:space="preserve"> only NRTC1 and NRTC2 is applicable for 52.6-71GHz;</w:t>
      </w:r>
    </w:p>
    <w:p>
      <w:pPr>
        <w:pBdr>
          <w:top w:val="none" w:color="auto" w:sz="0" w:space="0"/>
          <w:left w:val="none" w:color="auto" w:sz="0" w:space="0"/>
          <w:bottom w:val="none" w:color="000000" w:sz="0" w:space="0"/>
          <w:right w:val="none" w:color="auto" w:sz="0" w:space="0"/>
          <w:between w:val="none" w:color="auto" w:sz="0" w:space="0"/>
        </w:pBdr>
        <w:overflowPunct w:val="0"/>
        <w:autoSpaceDE w:val="0"/>
        <w:autoSpaceDN w:val="0"/>
        <w:adjustRightInd w:val="0"/>
        <w:jc w:val="both"/>
        <w:textAlignment w:val="baseline"/>
        <w:rPr>
          <w:rFonts w:hint="eastAsia" w:ascii="Times New Roman" w:hAnsi="Times New Roman" w:eastAsia="宋体" w:cs="Times New Roman"/>
          <w:sz w:val="20"/>
          <w:szCs w:val="22"/>
          <w:highlight w:val="none"/>
          <w:lang w:val="en-US" w:eastAsia="zh-CN"/>
        </w:rPr>
      </w:pPr>
    </w:p>
    <w:p>
      <w:pPr>
        <w:keepNext w:val="0"/>
        <w:keepLines w:val="0"/>
        <w:pageBreakBefore w:val="0"/>
        <w:widowControl w:val="0"/>
        <w:pBdr>
          <w:top w:val="none" w:color="auto" w:sz="0" w:space="0"/>
          <w:left w:val="none" w:color="auto" w:sz="0" w:space="0"/>
          <w:bottom w:val="none" w:color="000000" w:sz="0" w:space="0"/>
          <w:right w:val="none" w:color="auto" w:sz="0" w:space="0"/>
          <w:between w:val="none" w:color="auto" w:sz="0" w:space="0"/>
        </w:pBdr>
        <w:kinsoku/>
        <w:wordWrap/>
        <w:overflowPunct w:val="0"/>
        <w:topLinePunct w:val="0"/>
        <w:autoSpaceDE w:val="0"/>
        <w:autoSpaceDN w:val="0"/>
        <w:bidi w:val="0"/>
        <w:adjustRightInd w:val="0"/>
        <w:snapToGrid/>
        <w:jc w:val="both"/>
        <w:textAlignment w:val="baseline"/>
        <w:outlineLvl w:val="2"/>
        <w:rPr>
          <w:rFonts w:hint="eastAsia" w:ascii="Times New Roman" w:hAnsi="Times New Roman" w:eastAsia="宋体" w:cs="Times New Roman"/>
          <w:sz w:val="20"/>
          <w:szCs w:val="22"/>
          <w:highlight w:val="none"/>
          <w:lang w:val="en-US" w:eastAsia="zh-CN"/>
        </w:rPr>
      </w:pPr>
      <w:r>
        <w:rPr>
          <w:rFonts w:hint="eastAsia" w:ascii="Arial" w:hAnsi="Arial" w:eastAsia="宋体" w:cs="Arial"/>
          <w:sz w:val="21"/>
          <w:szCs w:val="21"/>
          <w:highlight w:val="none"/>
          <w:lang w:val="en-US" w:eastAsia="zh-CN"/>
        </w:rPr>
        <w:t>2.1.2. Test case</w:t>
      </w:r>
    </w:p>
    <w:p>
      <w:pPr>
        <w:pBdr>
          <w:top w:val="none" w:color="auto" w:sz="0" w:space="0"/>
          <w:left w:val="none" w:color="auto" w:sz="0" w:space="0"/>
          <w:bottom w:val="none" w:color="000000" w:sz="0" w:space="0"/>
          <w:right w:val="none" w:color="auto" w:sz="0" w:space="0"/>
          <w:between w:val="none" w:color="auto" w:sz="0" w:space="0"/>
        </w:pBdr>
        <w:overflowPunct w:val="0"/>
        <w:autoSpaceDE w:val="0"/>
        <w:autoSpaceDN w:val="0"/>
        <w:adjustRightInd w:val="0"/>
        <w:jc w:val="both"/>
        <w:textAlignment w:val="baseline"/>
        <w:rPr>
          <w:rFonts w:hint="eastAsia" w:cs="v4.2.0"/>
          <w:lang w:val="en-US" w:eastAsia="zh-CN"/>
        </w:rPr>
      </w:pPr>
      <w:r>
        <w:rPr>
          <w:rFonts w:hint="eastAsia" w:ascii="Times New Roman" w:hAnsi="Times New Roman" w:eastAsia="宋体" w:cs="Times New Roman"/>
          <w:sz w:val="20"/>
          <w:szCs w:val="22"/>
          <w:highlight w:val="none"/>
          <w:lang w:val="en-US" w:eastAsia="zh-CN"/>
        </w:rPr>
        <w:t xml:space="preserve">For RF channels to be used to place carriers or </w:t>
      </w:r>
      <w:r>
        <w:rPr>
          <w:rFonts w:hint="eastAsia" w:cs="v4.2.0"/>
          <w:lang w:val="en-US" w:eastAsia="zh-CN"/>
        </w:rPr>
        <w:t xml:space="preserve">place </w:t>
      </w:r>
      <w:r>
        <w:rPr>
          <w:rFonts w:cs="v4.2.0"/>
        </w:rPr>
        <w:t xml:space="preserve">the maximum Base Station RF Bandwidth located </w:t>
      </w:r>
      <w:r>
        <w:rPr>
          <w:rFonts w:hint="eastAsia" w:cs="v4.2.0"/>
          <w:lang w:val="en-US" w:eastAsia="zh-CN"/>
        </w:rPr>
        <w:t>within</w:t>
      </w:r>
      <w:r>
        <w:rPr>
          <w:rFonts w:cs="v4.2.0"/>
        </w:rPr>
        <w:t xml:space="preserve"> the supported frequency range in the operating band</w:t>
      </w:r>
      <w:r>
        <w:rPr>
          <w:rFonts w:hint="eastAsia" w:cs="v4.2.0"/>
          <w:lang w:val="en-US" w:eastAsia="zh-CN"/>
        </w:rPr>
        <w:t xml:space="preserve">. </w:t>
      </w:r>
    </w:p>
    <w:p>
      <w:pPr>
        <w:pBdr>
          <w:top w:val="none" w:color="auto" w:sz="0" w:space="0"/>
          <w:left w:val="none" w:color="auto" w:sz="0" w:space="0"/>
          <w:bottom w:val="none" w:color="000000" w:sz="0" w:space="0"/>
          <w:right w:val="none" w:color="auto" w:sz="0" w:space="0"/>
          <w:between w:val="none" w:color="auto" w:sz="0" w:space="0"/>
        </w:pBdr>
        <w:overflowPunct w:val="0"/>
        <w:autoSpaceDE w:val="0"/>
        <w:autoSpaceDN w:val="0"/>
        <w:adjustRightInd w:val="0"/>
        <w:jc w:val="both"/>
        <w:textAlignment w:val="baseline"/>
        <w:rPr>
          <w:rFonts w:hint="eastAsia" w:ascii="Times New Roman" w:hAnsi="Times New Roman" w:eastAsia="宋体" w:cs="Times New Roman"/>
          <w:sz w:val="20"/>
          <w:szCs w:val="22"/>
          <w:highlight w:val="none"/>
          <w:lang w:val="en-US" w:eastAsia="zh-CN"/>
        </w:rPr>
      </w:pPr>
      <w:r>
        <w:rPr>
          <w:rFonts w:hint="eastAsia" w:cs="v4.2.0"/>
          <w:lang w:val="en-US" w:eastAsia="zh-CN"/>
        </w:rPr>
        <w:t>For FR2-2 52.6-71GHz, we don</w:t>
      </w:r>
      <w:r>
        <w:rPr>
          <w:rFonts w:hint="default" w:cs="v4.2.0"/>
          <w:lang w:val="en-US" w:eastAsia="zh-CN"/>
        </w:rPr>
        <w:t>’</w:t>
      </w:r>
      <w:r>
        <w:rPr>
          <w:rFonts w:hint="eastAsia" w:cs="v4.2.0"/>
          <w:lang w:val="en-US" w:eastAsia="zh-CN"/>
        </w:rPr>
        <w:t>t see the reasoning that different test case are needed compared with the existing test case for FR2-1.</w:t>
      </w:r>
    </w:p>
    <w:p>
      <w:pPr>
        <w:pBdr>
          <w:top w:val="none" w:color="auto" w:sz="0" w:space="0"/>
          <w:left w:val="none" w:color="auto" w:sz="0" w:space="0"/>
          <w:bottom w:val="none" w:color="000000" w:sz="0" w:space="0"/>
          <w:right w:val="none" w:color="auto" w:sz="0" w:space="0"/>
          <w:between w:val="none" w:color="auto" w:sz="0" w:space="0"/>
        </w:pBdr>
        <w:overflowPunct w:val="0"/>
        <w:autoSpaceDE w:val="0"/>
        <w:autoSpaceDN w:val="0"/>
        <w:adjustRightInd w:val="0"/>
        <w:jc w:val="both"/>
        <w:textAlignment w:val="baseline"/>
        <w:rPr>
          <w:rFonts w:hint="default" w:ascii="Times New Roman" w:hAnsi="Times New Roman" w:eastAsia="宋体" w:cs="Times New Roman"/>
          <w:sz w:val="20"/>
          <w:szCs w:val="22"/>
          <w:highlight w:val="none"/>
          <w:lang w:val="en-US" w:eastAsia="zh-CN"/>
        </w:rPr>
      </w:pPr>
      <w:r>
        <w:rPr>
          <w:rFonts w:hint="eastAsia" w:ascii="Times New Roman" w:hAnsi="Times New Roman" w:eastAsia="宋体" w:cs="Times New Roman"/>
          <w:b/>
          <w:bCs/>
          <w:sz w:val="20"/>
          <w:szCs w:val="22"/>
          <w:highlight w:val="none"/>
          <w:lang w:val="en-US" w:eastAsia="zh-CN"/>
        </w:rPr>
        <w:t>Proposal 3:</w:t>
      </w:r>
      <w:r>
        <w:rPr>
          <w:rFonts w:hint="eastAsia" w:ascii="Times New Roman" w:hAnsi="Times New Roman" w:eastAsia="宋体" w:cs="Times New Roman"/>
          <w:sz w:val="20"/>
          <w:szCs w:val="22"/>
          <w:highlight w:val="none"/>
          <w:lang w:val="en-US" w:eastAsia="zh-CN"/>
        </w:rPr>
        <w:t xml:space="preserve"> </w:t>
      </w:r>
      <w:r>
        <w:rPr>
          <w:rFonts w:hint="eastAsia" w:cs="Times New Roman"/>
          <w:sz w:val="20"/>
          <w:szCs w:val="22"/>
          <w:highlight w:val="none"/>
          <w:lang w:val="en-US" w:eastAsia="zh-CN"/>
        </w:rPr>
        <w:t>agree to reuse the existing test case for FR2-1 NR BS conformance testing for FR2-2.</w:t>
      </w:r>
    </w:p>
    <w:p>
      <w:pPr>
        <w:pBdr>
          <w:top w:val="none" w:color="auto" w:sz="0" w:space="0"/>
          <w:left w:val="none" w:color="auto" w:sz="0" w:space="0"/>
          <w:bottom w:val="none" w:color="000000" w:sz="0" w:space="0"/>
          <w:right w:val="none" w:color="auto" w:sz="0" w:space="0"/>
          <w:between w:val="none" w:color="auto" w:sz="0" w:space="0"/>
        </w:pBdr>
        <w:overflowPunct w:val="0"/>
        <w:autoSpaceDE w:val="0"/>
        <w:autoSpaceDN w:val="0"/>
        <w:adjustRightInd w:val="0"/>
        <w:jc w:val="both"/>
        <w:textAlignment w:val="baseline"/>
        <w:rPr>
          <w:rFonts w:hint="default" w:ascii="Times New Roman" w:hAnsi="Times New Roman" w:eastAsia="宋体" w:cs="Times New Roman"/>
          <w:sz w:val="20"/>
          <w:szCs w:val="22"/>
          <w:highlight w:val="none"/>
          <w:lang w:val="en-US" w:eastAsia="zh-CN"/>
        </w:rPr>
      </w:pPr>
    </w:p>
    <w:p>
      <w:pPr>
        <w:keepNext w:val="0"/>
        <w:keepLines w:val="0"/>
        <w:pageBreakBefore w:val="0"/>
        <w:widowControl w:val="0"/>
        <w:pBdr>
          <w:top w:val="none" w:color="auto" w:sz="0" w:space="0"/>
          <w:left w:val="none" w:color="auto" w:sz="0" w:space="0"/>
          <w:bottom w:val="none" w:color="000000" w:sz="0" w:space="0"/>
          <w:right w:val="none" w:color="auto" w:sz="0" w:space="0"/>
          <w:between w:val="none" w:color="auto" w:sz="0" w:space="0"/>
        </w:pBdr>
        <w:kinsoku/>
        <w:wordWrap/>
        <w:overflowPunct w:val="0"/>
        <w:topLinePunct w:val="0"/>
        <w:autoSpaceDE w:val="0"/>
        <w:autoSpaceDN w:val="0"/>
        <w:bidi w:val="0"/>
        <w:adjustRightInd w:val="0"/>
        <w:snapToGrid/>
        <w:jc w:val="both"/>
        <w:textAlignment w:val="baseline"/>
        <w:outlineLvl w:val="2"/>
        <w:rPr>
          <w:rFonts w:hint="eastAsia" w:ascii="Arial" w:hAnsi="Arial" w:eastAsia="宋体" w:cs="Arial"/>
          <w:sz w:val="21"/>
          <w:szCs w:val="21"/>
          <w:highlight w:val="none"/>
          <w:lang w:val="en-US" w:eastAsia="zh-CN"/>
        </w:rPr>
      </w:pPr>
      <w:r>
        <w:rPr>
          <w:rFonts w:hint="eastAsia" w:ascii="Arial" w:hAnsi="Arial" w:eastAsia="宋体" w:cs="Arial"/>
          <w:sz w:val="21"/>
          <w:szCs w:val="21"/>
          <w:highlight w:val="none"/>
          <w:lang w:val="en-US" w:eastAsia="zh-CN"/>
        </w:rPr>
        <w:t>2.1.3. Test model</w:t>
      </w:r>
    </w:p>
    <w:p>
      <w:pPr>
        <w:pBdr>
          <w:top w:val="none" w:color="auto" w:sz="0" w:space="0"/>
          <w:left w:val="none" w:color="auto" w:sz="0" w:space="0"/>
          <w:bottom w:val="none" w:color="000000" w:sz="0" w:space="0"/>
          <w:right w:val="none" w:color="auto" w:sz="0" w:space="0"/>
          <w:between w:val="none" w:color="auto" w:sz="0" w:space="0"/>
        </w:pBdr>
        <w:overflowPunct w:val="0"/>
        <w:autoSpaceDE w:val="0"/>
        <w:autoSpaceDN w:val="0"/>
        <w:adjustRightInd w:val="0"/>
        <w:jc w:val="both"/>
        <w:textAlignment w:val="baseline"/>
        <w:rPr>
          <w:rFonts w:hint="default" w:ascii="Times New Roman" w:hAnsi="Times New Roman" w:eastAsia="宋体" w:cs="Times New Roman"/>
          <w:b w:val="0"/>
          <w:bCs w:val="0"/>
          <w:sz w:val="20"/>
          <w:szCs w:val="22"/>
          <w:highlight w:val="none"/>
          <w:lang w:val="en-US" w:eastAsia="zh-CN"/>
        </w:rPr>
      </w:pPr>
      <w:r>
        <w:rPr>
          <w:rFonts w:hint="eastAsia" w:cs="Times New Roman"/>
          <w:b w:val="0"/>
          <w:bCs w:val="0"/>
          <w:sz w:val="20"/>
          <w:szCs w:val="22"/>
          <w:highlight w:val="none"/>
          <w:lang w:val="en-US" w:eastAsia="zh-CN"/>
        </w:rPr>
        <w:t xml:space="preserve">The existing test pattern is specified up to 120kHz, however for FR2-2 52.6-71GHz, its supported SCS could be up to 960kHz, therefore the corresponding TDD pattern should be specified for FR-2. In general, this TDD pattern should be requested by operators based on potential traffic demand, for FR2-2, we need to follow the same principle for that. If there is no operators inputs on the TDD patterns for FR2-2, we propose to scale the TDD pattern for 480kHz and 960kHz with 120kHz to make sure that DL and UL timing aligned among different SCS. </w:t>
      </w:r>
    </w:p>
    <w:p>
      <w:pPr>
        <w:rPr>
          <w:rFonts w:hint="default" w:eastAsia="Times New Roman"/>
          <w:kern w:val="0"/>
          <w:sz w:val="20"/>
          <w:szCs w:val="20"/>
          <w:lang w:val="en-US" w:eastAsia="zh-CN"/>
        </w:rPr>
      </w:pPr>
    </w:p>
    <w:tbl>
      <w:tblPr>
        <w:tblStyle w:val="21"/>
        <w:tblW w:w="0" w:type="auto"/>
        <w:jc w:val="center"/>
        <w:tblLayout w:type="autofit"/>
        <w:tblCellMar>
          <w:top w:w="0" w:type="dxa"/>
          <w:left w:w="108" w:type="dxa"/>
          <w:bottom w:w="0" w:type="dxa"/>
          <w:right w:w="108" w:type="dxa"/>
        </w:tblCellMar>
      </w:tblPr>
      <w:tblGrid>
        <w:gridCol w:w="4157"/>
        <w:gridCol w:w="567"/>
        <w:gridCol w:w="567"/>
        <w:gridCol w:w="567"/>
        <w:gridCol w:w="567"/>
      </w:tblGrid>
      <w:tr>
        <w:tblPrEx>
          <w:tblCellMar>
            <w:top w:w="0" w:type="dxa"/>
            <w:left w:w="108" w:type="dxa"/>
            <w:bottom w:w="0" w:type="dxa"/>
            <w:right w:w="108" w:type="dxa"/>
          </w:tblCellMar>
        </w:tblPrEx>
        <w:trPr>
          <w:cantSplit/>
          <w:jc w:val="center"/>
        </w:trPr>
        <w:tc>
          <w:tcPr>
            <w:tcW w:w="0" w:type="auto"/>
          </w:tcPr>
          <w:p>
            <w:pPr>
              <w:pStyle w:val="32"/>
            </w:pPr>
            <w:r>
              <w:t>Field name</w:t>
            </w:r>
          </w:p>
        </w:tc>
        <w:tc>
          <w:tcPr>
            <w:tcW w:w="0" w:type="auto"/>
            <w:gridSpan w:val="4"/>
          </w:tcPr>
          <w:p>
            <w:pPr>
              <w:pStyle w:val="32"/>
              <w:rPr>
                <w:lang w:val="en-US"/>
              </w:rPr>
            </w:pPr>
            <w:r>
              <w:rPr>
                <w:lang w:val="en-US"/>
              </w:rPr>
              <w:t>Value</w:t>
            </w:r>
          </w:p>
        </w:tc>
      </w:tr>
      <w:tr>
        <w:tblPrEx>
          <w:tblCellMar>
            <w:top w:w="0" w:type="dxa"/>
            <w:left w:w="108" w:type="dxa"/>
            <w:bottom w:w="0" w:type="dxa"/>
            <w:right w:w="108" w:type="dxa"/>
          </w:tblCellMar>
        </w:tblPrEx>
        <w:trPr>
          <w:cantSplit/>
          <w:jc w:val="center"/>
        </w:trPr>
        <w:tc>
          <w:tcPr>
            <w:tcW w:w="0" w:type="auto"/>
          </w:tcPr>
          <w:p>
            <w:pPr>
              <w:pStyle w:val="33"/>
            </w:pPr>
            <w:r>
              <w:t xml:space="preserve">referenceSubcarrierSpacing </w:t>
            </w:r>
            <w:r>
              <w:rPr>
                <w:rFonts w:hint="eastAsia"/>
                <w:lang w:val="en-US"/>
              </w:rPr>
              <w:t>(kHz)</w:t>
            </w:r>
          </w:p>
        </w:tc>
        <w:tc>
          <w:tcPr>
            <w:tcW w:w="0" w:type="auto"/>
          </w:tcPr>
          <w:p>
            <w:pPr>
              <w:pStyle w:val="33"/>
            </w:pPr>
            <w:r>
              <w:rPr>
                <w:rFonts w:hint="eastAsia"/>
                <w:lang w:val="en-US"/>
              </w:rPr>
              <w:t>60</w:t>
            </w:r>
          </w:p>
        </w:tc>
        <w:tc>
          <w:tcPr>
            <w:tcW w:w="0" w:type="auto"/>
            <w:vAlign w:val="top"/>
          </w:tcPr>
          <w:p>
            <w:pPr>
              <w:pStyle w:val="33"/>
            </w:pPr>
            <w:r>
              <w:rPr>
                <w:rFonts w:hint="eastAsia"/>
                <w:lang w:val="en-US"/>
              </w:rPr>
              <w:t>120</w:t>
            </w:r>
          </w:p>
        </w:tc>
        <w:tc>
          <w:tcPr>
            <w:tcW w:w="0" w:type="auto"/>
          </w:tcPr>
          <w:p>
            <w:pPr>
              <w:pStyle w:val="33"/>
              <w:rPr>
                <w:rFonts w:hint="default"/>
                <w:lang w:val="en-US" w:eastAsia="zh-CN"/>
              </w:rPr>
            </w:pPr>
            <w:r>
              <w:rPr>
                <w:rFonts w:hint="eastAsia"/>
                <w:lang w:val="en-US" w:eastAsia="zh-CN"/>
              </w:rPr>
              <w:t>480</w:t>
            </w:r>
          </w:p>
        </w:tc>
        <w:tc>
          <w:tcPr>
            <w:tcW w:w="0" w:type="auto"/>
          </w:tcPr>
          <w:p>
            <w:pPr>
              <w:pStyle w:val="33"/>
              <w:rPr>
                <w:rFonts w:hint="default"/>
                <w:lang w:val="en-US" w:eastAsia="zh-CN"/>
              </w:rPr>
            </w:pPr>
            <w:r>
              <w:rPr>
                <w:rFonts w:hint="eastAsia"/>
                <w:lang w:val="en-US" w:eastAsia="zh-CN"/>
              </w:rPr>
              <w:t>960</w:t>
            </w:r>
          </w:p>
        </w:tc>
      </w:tr>
      <w:tr>
        <w:tblPrEx>
          <w:tblCellMar>
            <w:top w:w="0" w:type="dxa"/>
            <w:left w:w="108" w:type="dxa"/>
            <w:bottom w:w="0" w:type="dxa"/>
            <w:right w:w="108" w:type="dxa"/>
          </w:tblCellMar>
        </w:tblPrEx>
        <w:trPr>
          <w:cantSplit/>
          <w:jc w:val="center"/>
        </w:trPr>
        <w:tc>
          <w:tcPr>
            <w:tcW w:w="0" w:type="auto"/>
          </w:tcPr>
          <w:p>
            <w:pPr>
              <w:pStyle w:val="33"/>
            </w:pPr>
            <w:r>
              <w:t>Periodicity (ms) for dl-UL-TransmissionPeriodicity</w:t>
            </w:r>
          </w:p>
        </w:tc>
        <w:tc>
          <w:tcPr>
            <w:tcW w:w="0" w:type="auto"/>
          </w:tcPr>
          <w:p>
            <w:pPr>
              <w:pStyle w:val="33"/>
              <w:rPr>
                <w:lang w:val="en-US"/>
              </w:rPr>
            </w:pPr>
            <w:r>
              <w:rPr>
                <w:rFonts w:hint="eastAsia"/>
                <w:lang w:val="en-US"/>
              </w:rPr>
              <w:t>1.25</w:t>
            </w:r>
            <w:r>
              <w:rPr>
                <w:lang w:val="en-US"/>
              </w:rPr>
              <w:t xml:space="preserve"> </w:t>
            </w:r>
          </w:p>
        </w:tc>
        <w:tc>
          <w:tcPr>
            <w:tcW w:w="0" w:type="auto"/>
            <w:vAlign w:val="top"/>
          </w:tcPr>
          <w:p>
            <w:pPr>
              <w:pStyle w:val="33"/>
              <w:rPr>
                <w:lang w:val="en-US"/>
              </w:rPr>
            </w:pPr>
            <w:r>
              <w:rPr>
                <w:rFonts w:hint="eastAsia"/>
                <w:lang w:val="en-US"/>
              </w:rPr>
              <w:t>1.25</w:t>
            </w:r>
            <w:r>
              <w:rPr>
                <w:lang w:val="en-US"/>
              </w:rPr>
              <w:t xml:space="preserve"> </w:t>
            </w:r>
          </w:p>
        </w:tc>
        <w:tc>
          <w:tcPr>
            <w:tcW w:w="0" w:type="auto"/>
          </w:tcPr>
          <w:p>
            <w:pPr>
              <w:pStyle w:val="33"/>
              <w:rPr>
                <w:rFonts w:hint="default" w:eastAsia="宋体"/>
                <w:lang w:val="en-US" w:eastAsia="zh-CN"/>
              </w:rPr>
            </w:pPr>
            <w:r>
              <w:rPr>
                <w:rFonts w:hint="eastAsia" w:eastAsia="宋体"/>
                <w:lang w:val="en-US" w:eastAsia="zh-CN"/>
              </w:rPr>
              <w:t>1.25</w:t>
            </w:r>
          </w:p>
        </w:tc>
        <w:tc>
          <w:tcPr>
            <w:tcW w:w="0" w:type="auto"/>
          </w:tcPr>
          <w:p>
            <w:pPr>
              <w:pStyle w:val="33"/>
              <w:rPr>
                <w:rFonts w:hint="default" w:eastAsia="宋体"/>
                <w:lang w:val="en-US" w:eastAsia="zh-CN"/>
              </w:rPr>
            </w:pPr>
            <w:r>
              <w:rPr>
                <w:rFonts w:hint="eastAsia" w:eastAsia="宋体"/>
                <w:lang w:val="en-US" w:eastAsia="zh-CN"/>
              </w:rPr>
              <w:t>1.25</w:t>
            </w:r>
          </w:p>
        </w:tc>
      </w:tr>
      <w:tr>
        <w:tblPrEx>
          <w:tblCellMar>
            <w:top w:w="0" w:type="dxa"/>
            <w:left w:w="108" w:type="dxa"/>
            <w:bottom w:w="0" w:type="dxa"/>
            <w:right w:w="108" w:type="dxa"/>
          </w:tblCellMar>
        </w:tblPrEx>
        <w:trPr>
          <w:cantSplit/>
          <w:jc w:val="center"/>
        </w:trPr>
        <w:tc>
          <w:tcPr>
            <w:tcW w:w="0" w:type="auto"/>
          </w:tcPr>
          <w:p>
            <w:pPr>
              <w:pStyle w:val="33"/>
              <w:rPr>
                <w:highlight w:val="none"/>
              </w:rPr>
            </w:pPr>
            <w:r>
              <w:rPr>
                <w:highlight w:val="none"/>
              </w:rPr>
              <w:t>nrofDownlinkSlots</w:t>
            </w:r>
          </w:p>
        </w:tc>
        <w:tc>
          <w:tcPr>
            <w:tcW w:w="0" w:type="auto"/>
          </w:tcPr>
          <w:p>
            <w:pPr>
              <w:pStyle w:val="33"/>
              <w:rPr>
                <w:highlight w:val="none"/>
                <w:lang w:val="en-US"/>
              </w:rPr>
            </w:pPr>
            <w:r>
              <w:rPr>
                <w:rFonts w:hint="eastAsia"/>
                <w:highlight w:val="none"/>
                <w:lang w:val="en-US"/>
              </w:rPr>
              <w:t>3</w:t>
            </w:r>
          </w:p>
        </w:tc>
        <w:tc>
          <w:tcPr>
            <w:tcW w:w="0" w:type="auto"/>
            <w:vAlign w:val="top"/>
          </w:tcPr>
          <w:p>
            <w:pPr>
              <w:pStyle w:val="33"/>
              <w:rPr>
                <w:highlight w:val="none"/>
                <w:lang w:val="en-US"/>
              </w:rPr>
            </w:pPr>
            <w:r>
              <w:rPr>
                <w:rFonts w:hint="eastAsia"/>
                <w:highlight w:val="none"/>
                <w:lang w:val="en-US"/>
              </w:rPr>
              <w:t>7</w:t>
            </w:r>
          </w:p>
        </w:tc>
        <w:tc>
          <w:tcPr>
            <w:tcW w:w="0" w:type="auto"/>
          </w:tcPr>
          <w:p>
            <w:pPr>
              <w:pStyle w:val="33"/>
              <w:rPr>
                <w:rFonts w:hint="default" w:eastAsia="宋体"/>
                <w:highlight w:val="none"/>
                <w:lang w:val="en-US" w:eastAsia="zh-CN"/>
              </w:rPr>
            </w:pPr>
            <w:r>
              <w:rPr>
                <w:rFonts w:hint="eastAsia" w:eastAsia="宋体"/>
                <w:highlight w:val="none"/>
                <w:lang w:val="en-US" w:eastAsia="zh-CN"/>
              </w:rPr>
              <w:t>29</w:t>
            </w:r>
          </w:p>
        </w:tc>
        <w:tc>
          <w:tcPr>
            <w:tcW w:w="0" w:type="auto"/>
          </w:tcPr>
          <w:p>
            <w:pPr>
              <w:pStyle w:val="33"/>
              <w:rPr>
                <w:rFonts w:hint="default" w:eastAsia="宋体"/>
                <w:lang w:val="en-US" w:eastAsia="zh-CN"/>
              </w:rPr>
            </w:pPr>
            <w:r>
              <w:rPr>
                <w:rFonts w:hint="eastAsia" w:eastAsia="宋体"/>
                <w:lang w:val="en-US" w:eastAsia="zh-CN"/>
              </w:rPr>
              <w:t>59</w:t>
            </w:r>
          </w:p>
        </w:tc>
      </w:tr>
      <w:tr>
        <w:tblPrEx>
          <w:tblCellMar>
            <w:top w:w="0" w:type="dxa"/>
            <w:left w:w="108" w:type="dxa"/>
            <w:bottom w:w="0" w:type="dxa"/>
            <w:right w:w="108" w:type="dxa"/>
          </w:tblCellMar>
        </w:tblPrEx>
        <w:trPr>
          <w:cantSplit/>
          <w:jc w:val="center"/>
        </w:trPr>
        <w:tc>
          <w:tcPr>
            <w:tcW w:w="0" w:type="auto"/>
          </w:tcPr>
          <w:p>
            <w:pPr>
              <w:pStyle w:val="33"/>
            </w:pPr>
            <w:r>
              <w:t>nrofDownlinkSymbols</w:t>
            </w:r>
          </w:p>
        </w:tc>
        <w:tc>
          <w:tcPr>
            <w:tcW w:w="0" w:type="auto"/>
          </w:tcPr>
          <w:p>
            <w:pPr>
              <w:pStyle w:val="33"/>
              <w:rPr>
                <w:lang w:val="en-US"/>
              </w:rPr>
            </w:pPr>
            <w:r>
              <w:rPr>
                <w:rFonts w:hint="eastAsia"/>
                <w:lang w:val="en-US"/>
              </w:rPr>
              <w:t>10</w:t>
            </w:r>
          </w:p>
        </w:tc>
        <w:tc>
          <w:tcPr>
            <w:tcW w:w="0" w:type="auto"/>
            <w:vAlign w:val="top"/>
          </w:tcPr>
          <w:p>
            <w:pPr>
              <w:pStyle w:val="33"/>
              <w:rPr>
                <w:lang w:val="en-US"/>
              </w:rPr>
            </w:pPr>
            <w:r>
              <w:rPr>
                <w:rFonts w:hint="eastAsia"/>
                <w:lang w:val="en-US"/>
              </w:rPr>
              <w:t>6</w:t>
            </w:r>
          </w:p>
        </w:tc>
        <w:tc>
          <w:tcPr>
            <w:tcW w:w="0" w:type="auto"/>
          </w:tcPr>
          <w:p>
            <w:pPr>
              <w:pStyle w:val="33"/>
              <w:rPr>
                <w:rFonts w:hint="default" w:eastAsia="宋体"/>
                <w:lang w:val="en-US" w:eastAsia="zh-CN"/>
              </w:rPr>
            </w:pPr>
            <w:r>
              <w:rPr>
                <w:rFonts w:hint="eastAsia" w:eastAsia="宋体"/>
                <w:lang w:val="en-US" w:eastAsia="zh-CN"/>
              </w:rPr>
              <w:t>10</w:t>
            </w:r>
          </w:p>
        </w:tc>
        <w:tc>
          <w:tcPr>
            <w:tcW w:w="0" w:type="auto"/>
          </w:tcPr>
          <w:p>
            <w:pPr>
              <w:pStyle w:val="33"/>
              <w:rPr>
                <w:rFonts w:hint="default" w:eastAsia="宋体"/>
                <w:lang w:val="en-US" w:eastAsia="zh-CN"/>
              </w:rPr>
            </w:pPr>
            <w:r>
              <w:rPr>
                <w:rFonts w:hint="eastAsia" w:eastAsia="宋体"/>
                <w:lang w:val="en-US" w:eastAsia="zh-CN"/>
              </w:rPr>
              <w:t>6</w:t>
            </w:r>
          </w:p>
        </w:tc>
      </w:tr>
      <w:tr>
        <w:tblPrEx>
          <w:tblCellMar>
            <w:top w:w="0" w:type="dxa"/>
            <w:left w:w="108" w:type="dxa"/>
            <w:bottom w:w="0" w:type="dxa"/>
            <w:right w:w="108" w:type="dxa"/>
          </w:tblCellMar>
        </w:tblPrEx>
        <w:trPr>
          <w:cantSplit/>
          <w:jc w:val="center"/>
        </w:trPr>
        <w:tc>
          <w:tcPr>
            <w:tcW w:w="0" w:type="auto"/>
          </w:tcPr>
          <w:p>
            <w:pPr>
              <w:pStyle w:val="33"/>
              <w:rPr>
                <w:highlight w:val="none"/>
              </w:rPr>
            </w:pPr>
            <w:r>
              <w:rPr>
                <w:highlight w:val="none"/>
              </w:rPr>
              <w:t>nrofUplinkSlots</w:t>
            </w:r>
          </w:p>
        </w:tc>
        <w:tc>
          <w:tcPr>
            <w:tcW w:w="0" w:type="auto"/>
          </w:tcPr>
          <w:p>
            <w:pPr>
              <w:pStyle w:val="33"/>
              <w:rPr>
                <w:highlight w:val="none"/>
                <w:lang w:val="en-US"/>
              </w:rPr>
            </w:pPr>
            <w:r>
              <w:rPr>
                <w:rFonts w:hint="eastAsia"/>
                <w:highlight w:val="none"/>
                <w:lang w:val="en-US"/>
              </w:rPr>
              <w:t>1</w:t>
            </w:r>
          </w:p>
        </w:tc>
        <w:tc>
          <w:tcPr>
            <w:tcW w:w="0" w:type="auto"/>
            <w:vAlign w:val="top"/>
          </w:tcPr>
          <w:p>
            <w:pPr>
              <w:pStyle w:val="33"/>
              <w:rPr>
                <w:highlight w:val="none"/>
                <w:lang w:val="en-US"/>
              </w:rPr>
            </w:pPr>
            <w:r>
              <w:rPr>
                <w:rFonts w:hint="eastAsia"/>
                <w:highlight w:val="none"/>
                <w:lang w:val="en-US"/>
              </w:rPr>
              <w:t>2</w:t>
            </w:r>
          </w:p>
        </w:tc>
        <w:tc>
          <w:tcPr>
            <w:tcW w:w="0" w:type="auto"/>
          </w:tcPr>
          <w:p>
            <w:pPr>
              <w:pStyle w:val="33"/>
              <w:rPr>
                <w:rFonts w:hint="default" w:eastAsia="宋体"/>
                <w:highlight w:val="none"/>
                <w:lang w:val="en-US" w:eastAsia="zh-CN"/>
              </w:rPr>
            </w:pPr>
            <w:r>
              <w:rPr>
                <w:rFonts w:hint="eastAsia" w:eastAsia="宋体"/>
                <w:highlight w:val="none"/>
                <w:lang w:val="en-US" w:eastAsia="zh-CN"/>
              </w:rPr>
              <w:t>9</w:t>
            </w:r>
          </w:p>
        </w:tc>
        <w:tc>
          <w:tcPr>
            <w:tcW w:w="0" w:type="auto"/>
          </w:tcPr>
          <w:p>
            <w:pPr>
              <w:pStyle w:val="33"/>
              <w:rPr>
                <w:rFonts w:hint="default" w:eastAsia="宋体"/>
                <w:lang w:val="en-US" w:eastAsia="zh-CN"/>
              </w:rPr>
            </w:pPr>
            <w:r>
              <w:rPr>
                <w:rFonts w:hint="eastAsia" w:eastAsia="宋体"/>
                <w:lang w:val="en-US" w:eastAsia="zh-CN"/>
              </w:rPr>
              <w:t>18</w:t>
            </w:r>
          </w:p>
        </w:tc>
      </w:tr>
      <w:tr>
        <w:tblPrEx>
          <w:tblCellMar>
            <w:top w:w="0" w:type="dxa"/>
            <w:left w:w="108" w:type="dxa"/>
            <w:bottom w:w="0" w:type="dxa"/>
            <w:right w:w="108" w:type="dxa"/>
          </w:tblCellMar>
        </w:tblPrEx>
        <w:trPr>
          <w:cantSplit/>
          <w:jc w:val="center"/>
        </w:trPr>
        <w:tc>
          <w:tcPr>
            <w:tcW w:w="0" w:type="auto"/>
          </w:tcPr>
          <w:p>
            <w:pPr>
              <w:pStyle w:val="33"/>
            </w:pPr>
            <w:r>
              <w:t>nrofUplinkSymbols</w:t>
            </w:r>
          </w:p>
        </w:tc>
        <w:tc>
          <w:tcPr>
            <w:tcW w:w="0" w:type="auto"/>
          </w:tcPr>
          <w:p>
            <w:pPr>
              <w:pStyle w:val="33"/>
              <w:rPr>
                <w:lang w:val="en-US"/>
              </w:rPr>
            </w:pPr>
            <w:r>
              <w:rPr>
                <w:rFonts w:hint="eastAsia"/>
                <w:lang w:val="en-US"/>
              </w:rPr>
              <w:t>2</w:t>
            </w:r>
          </w:p>
        </w:tc>
        <w:tc>
          <w:tcPr>
            <w:tcW w:w="0" w:type="auto"/>
            <w:vAlign w:val="top"/>
          </w:tcPr>
          <w:p>
            <w:pPr>
              <w:pStyle w:val="33"/>
              <w:rPr>
                <w:lang w:val="en-US"/>
              </w:rPr>
            </w:pPr>
            <w:r>
              <w:rPr>
                <w:rFonts w:hint="eastAsia"/>
                <w:lang w:val="en-US"/>
              </w:rPr>
              <w:t>4</w:t>
            </w:r>
          </w:p>
        </w:tc>
        <w:tc>
          <w:tcPr>
            <w:tcW w:w="0" w:type="auto"/>
          </w:tcPr>
          <w:p>
            <w:pPr>
              <w:pStyle w:val="33"/>
              <w:rPr>
                <w:rFonts w:hint="default" w:eastAsia="宋体"/>
                <w:lang w:val="en-US" w:eastAsia="zh-CN"/>
              </w:rPr>
            </w:pPr>
            <w:r>
              <w:rPr>
                <w:rFonts w:hint="eastAsia" w:eastAsia="宋体"/>
                <w:lang w:val="en-US" w:eastAsia="zh-CN"/>
              </w:rPr>
              <w:t>2</w:t>
            </w:r>
          </w:p>
        </w:tc>
        <w:tc>
          <w:tcPr>
            <w:tcW w:w="0" w:type="auto"/>
          </w:tcPr>
          <w:p>
            <w:pPr>
              <w:pStyle w:val="33"/>
              <w:rPr>
                <w:rFonts w:hint="default" w:eastAsia="宋体"/>
                <w:lang w:val="en-US" w:eastAsia="zh-CN"/>
              </w:rPr>
            </w:pPr>
            <w:r>
              <w:rPr>
                <w:rFonts w:hint="eastAsia" w:eastAsia="宋体"/>
                <w:lang w:val="en-US" w:eastAsia="zh-CN"/>
              </w:rPr>
              <w:t>4</w:t>
            </w:r>
          </w:p>
        </w:tc>
      </w:tr>
    </w:tbl>
    <w:p>
      <w:pPr>
        <w:pBdr>
          <w:top w:val="none" w:color="auto" w:sz="0" w:space="0"/>
          <w:left w:val="none" w:color="auto" w:sz="0" w:space="0"/>
          <w:bottom w:val="none" w:color="000000" w:sz="0" w:space="0"/>
          <w:right w:val="none" w:color="auto" w:sz="0" w:space="0"/>
          <w:between w:val="none" w:color="auto" w:sz="0" w:space="0"/>
        </w:pBdr>
        <w:overflowPunct w:val="0"/>
        <w:autoSpaceDE w:val="0"/>
        <w:autoSpaceDN w:val="0"/>
        <w:adjustRightInd w:val="0"/>
        <w:jc w:val="both"/>
        <w:textAlignment w:val="baseline"/>
        <w:rPr>
          <w:rFonts w:hint="eastAsia" w:ascii="Times New Roman" w:hAnsi="Times New Roman" w:eastAsia="宋体" w:cs="Times New Roman"/>
          <w:b w:val="0"/>
          <w:bCs w:val="0"/>
          <w:sz w:val="20"/>
          <w:szCs w:val="22"/>
          <w:highlight w:val="none"/>
          <w:lang w:val="en-US" w:eastAsia="zh-CN"/>
        </w:rPr>
      </w:pPr>
    </w:p>
    <w:p>
      <w:pPr>
        <w:pBdr>
          <w:top w:val="none" w:color="auto" w:sz="0" w:space="0"/>
          <w:left w:val="none" w:color="auto" w:sz="0" w:space="0"/>
          <w:bottom w:val="none" w:color="000000" w:sz="0" w:space="0"/>
          <w:right w:val="none" w:color="auto" w:sz="0" w:space="0"/>
          <w:between w:val="none" w:color="auto" w:sz="0" w:space="0"/>
        </w:pBdr>
        <w:overflowPunct w:val="0"/>
        <w:autoSpaceDE w:val="0"/>
        <w:autoSpaceDN w:val="0"/>
        <w:adjustRightInd w:val="0"/>
        <w:jc w:val="both"/>
        <w:textAlignment w:val="baseline"/>
        <w:rPr>
          <w:rFonts w:hint="default" w:ascii="Times New Roman" w:hAnsi="Times New Roman" w:eastAsia="宋体" w:cs="Times New Roman"/>
          <w:b w:val="0"/>
          <w:bCs w:val="0"/>
          <w:sz w:val="20"/>
          <w:szCs w:val="22"/>
          <w:highlight w:val="none"/>
          <w:lang w:val="en-US" w:eastAsia="zh-CN"/>
        </w:rPr>
      </w:pPr>
      <w:r>
        <w:rPr>
          <w:rFonts w:hint="eastAsia" w:ascii="Times New Roman" w:hAnsi="Times New Roman" w:eastAsia="宋体" w:cs="Times New Roman"/>
          <w:b/>
          <w:bCs/>
          <w:sz w:val="20"/>
          <w:szCs w:val="22"/>
          <w:highlight w:val="none"/>
          <w:lang w:val="en-US" w:eastAsia="zh-CN"/>
        </w:rPr>
        <w:t xml:space="preserve">Proposal </w:t>
      </w:r>
      <w:r>
        <w:rPr>
          <w:rFonts w:hint="eastAsia" w:cs="Times New Roman"/>
          <w:b/>
          <w:bCs/>
          <w:sz w:val="20"/>
          <w:szCs w:val="22"/>
          <w:highlight w:val="none"/>
          <w:lang w:val="en-US" w:eastAsia="zh-CN"/>
        </w:rPr>
        <w:t>4</w:t>
      </w:r>
      <w:r>
        <w:rPr>
          <w:rFonts w:hint="eastAsia" w:ascii="Times New Roman" w:hAnsi="Times New Roman" w:eastAsia="宋体" w:cs="Times New Roman"/>
          <w:b/>
          <w:bCs/>
          <w:sz w:val="20"/>
          <w:szCs w:val="22"/>
          <w:highlight w:val="none"/>
          <w:lang w:val="en-US" w:eastAsia="zh-CN"/>
        </w:rPr>
        <w:t>:</w:t>
      </w:r>
      <w:r>
        <w:rPr>
          <w:rFonts w:hint="eastAsia" w:ascii="Times New Roman" w:hAnsi="Times New Roman" w:eastAsia="宋体" w:cs="Times New Roman"/>
          <w:sz w:val="20"/>
          <w:szCs w:val="22"/>
          <w:highlight w:val="none"/>
          <w:lang w:val="en-US" w:eastAsia="zh-CN"/>
        </w:rPr>
        <w:t xml:space="preserve"> </w:t>
      </w:r>
      <w:r>
        <w:rPr>
          <w:rFonts w:hint="eastAsia" w:cs="Times New Roman"/>
          <w:sz w:val="20"/>
          <w:szCs w:val="22"/>
          <w:highlight w:val="none"/>
          <w:lang w:val="en-US" w:eastAsia="zh-CN"/>
        </w:rPr>
        <w:t>if there is no operator inputs on the TDD pattern for FR2-2, then agree on the above TDD configuration for FR2-2.</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981"/>
        <w:gridCol w:w="49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81" w:type="dxa"/>
            <w:shd w:val="clear" w:color="auto" w:fill="BEBEBE"/>
            <w:noWrap w:val="0"/>
            <w:vAlign w:val="top"/>
          </w:tcPr>
          <w:p>
            <w:pPr>
              <w:overflowPunct w:val="0"/>
              <w:autoSpaceDE w:val="0"/>
              <w:autoSpaceDN w:val="0"/>
              <w:adjustRightInd w:val="0"/>
              <w:jc w:val="both"/>
              <w:textAlignment w:val="baseline"/>
              <w:rPr>
                <w:rFonts w:hint="default" w:ascii="Times New Roman" w:hAnsi="Times New Roman" w:eastAsia="宋体" w:cs="Times New Roman"/>
                <w:sz w:val="20"/>
                <w:szCs w:val="22"/>
                <w:highlight w:val="none"/>
                <w:vertAlign w:val="baseline"/>
                <w:lang w:val="en-US" w:eastAsia="zh-CN"/>
              </w:rPr>
            </w:pPr>
            <w:r>
              <w:rPr>
                <w:rFonts w:hint="eastAsia" w:ascii="Times New Roman" w:hAnsi="Times New Roman" w:eastAsia="宋体" w:cs="Times New Roman"/>
                <w:b/>
                <w:bCs/>
                <w:sz w:val="20"/>
                <w:szCs w:val="22"/>
                <w:highlight w:val="none"/>
                <w:vertAlign w:val="baseline"/>
                <w:lang w:val="en-US" w:eastAsia="zh-CN"/>
              </w:rPr>
              <w:t>Test models in TS38.141-</w:t>
            </w:r>
            <w:r>
              <w:rPr>
                <w:rFonts w:hint="eastAsia" w:cs="Times New Roman"/>
                <w:b/>
                <w:bCs/>
                <w:sz w:val="20"/>
                <w:szCs w:val="22"/>
                <w:highlight w:val="none"/>
                <w:vertAlign w:val="baseline"/>
                <w:lang w:val="en-US" w:eastAsia="zh-CN"/>
              </w:rPr>
              <w:t>2</w:t>
            </w:r>
          </w:p>
        </w:tc>
        <w:tc>
          <w:tcPr>
            <w:tcW w:w="4981" w:type="dxa"/>
            <w:shd w:val="clear" w:color="auto" w:fill="BEBEBE"/>
            <w:noWrap w:val="0"/>
            <w:vAlign w:val="top"/>
          </w:tcPr>
          <w:p>
            <w:pPr>
              <w:overflowPunct w:val="0"/>
              <w:autoSpaceDE w:val="0"/>
              <w:autoSpaceDN w:val="0"/>
              <w:adjustRightInd w:val="0"/>
              <w:jc w:val="both"/>
              <w:textAlignment w:val="baseline"/>
              <w:rPr>
                <w:rFonts w:hint="default" w:ascii="Times New Roman" w:hAnsi="Times New Roman" w:eastAsia="宋体" w:cs="Times New Roman"/>
                <w:sz w:val="20"/>
                <w:szCs w:val="22"/>
                <w:highlight w:val="none"/>
                <w:vertAlign w:val="baseline"/>
                <w:lang w:val="en-US" w:eastAsia="zh-CN"/>
              </w:rPr>
            </w:pPr>
            <w:r>
              <w:rPr>
                <w:rFonts w:hint="eastAsia" w:ascii="Times New Roman" w:hAnsi="Times New Roman" w:eastAsia="宋体" w:cs="Times New Roman"/>
                <w:b/>
                <w:bCs/>
                <w:sz w:val="20"/>
                <w:szCs w:val="22"/>
                <w:highlight w:val="none"/>
                <w:vertAlign w:val="baseline"/>
                <w:lang w:val="en-US" w:eastAsia="zh-CN"/>
              </w:rPr>
              <w:t xml:space="preserve">Applicability for </w:t>
            </w:r>
            <w:r>
              <w:rPr>
                <w:rFonts w:hint="eastAsia" w:cs="Times New Roman"/>
                <w:b/>
                <w:bCs/>
                <w:sz w:val="20"/>
                <w:szCs w:val="22"/>
                <w:highlight w:val="none"/>
                <w:vertAlign w:val="baseline"/>
                <w:lang w:val="en-US" w:eastAsia="zh-CN"/>
              </w:rPr>
              <w:t>52.6-71GHz</w:t>
            </w:r>
            <w:r>
              <w:rPr>
                <w:rFonts w:hint="eastAsia" w:ascii="Times New Roman" w:hAnsi="Times New Roman" w:eastAsia="宋体" w:cs="Times New Roman"/>
                <w:sz w:val="20"/>
                <w:szCs w:val="22"/>
                <w:highlight w:val="none"/>
                <w:vertAlign w:val="baseline"/>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81" w:type="dxa"/>
            <w:noWrap w:val="0"/>
            <w:vAlign w:val="top"/>
          </w:tcPr>
          <w:p>
            <w:pPr>
              <w:overflowPunct w:val="0"/>
              <w:autoSpaceDE w:val="0"/>
              <w:autoSpaceDN w:val="0"/>
              <w:adjustRightInd w:val="0"/>
              <w:jc w:val="both"/>
              <w:textAlignment w:val="baseline"/>
              <w:rPr>
                <w:rFonts w:hint="eastAsia" w:ascii="Times New Roman" w:hAnsi="Times New Roman" w:eastAsia="宋体" w:cs="Times New Roman"/>
                <w:sz w:val="20"/>
                <w:szCs w:val="22"/>
                <w:highlight w:val="none"/>
                <w:vertAlign w:val="baseline"/>
                <w:lang w:val="en-US" w:eastAsia="zh-CN"/>
              </w:rPr>
            </w:pPr>
            <w:r>
              <w:t>NR-</w:t>
            </w:r>
            <w:r>
              <w:rPr>
                <w:rFonts w:hint="eastAsia"/>
                <w:lang w:val="en-US" w:eastAsia="zh-CN"/>
              </w:rPr>
              <w:t>FR2-</w:t>
            </w:r>
            <w:r>
              <w:t>TM1.1</w:t>
            </w:r>
          </w:p>
        </w:tc>
        <w:tc>
          <w:tcPr>
            <w:tcW w:w="4981" w:type="dxa"/>
            <w:noWrap w:val="0"/>
            <w:vAlign w:val="top"/>
          </w:tcPr>
          <w:p>
            <w:pPr>
              <w:overflowPunct w:val="0"/>
              <w:autoSpaceDE w:val="0"/>
              <w:autoSpaceDN w:val="0"/>
              <w:adjustRightInd w:val="0"/>
              <w:jc w:val="both"/>
              <w:textAlignment w:val="baseline"/>
              <w:rPr>
                <w:rFonts w:hint="default" w:ascii="Times New Roman" w:hAnsi="Times New Roman" w:eastAsia="宋体" w:cs="Times New Roman"/>
                <w:sz w:val="20"/>
                <w:szCs w:val="22"/>
                <w:highlight w:val="none"/>
                <w:vertAlign w:val="baseline"/>
                <w:lang w:val="en-US" w:eastAsia="zh-CN"/>
              </w:rPr>
            </w:pPr>
            <w:r>
              <w:rPr>
                <w:rFonts w:hint="eastAsia" w:ascii="Times New Roman" w:hAnsi="Times New Roman" w:eastAsia="宋体" w:cs="Times New Roman"/>
                <w:sz w:val="20"/>
                <w:szCs w:val="22"/>
                <w:highlight w:val="none"/>
                <w:vertAlign w:val="baseline"/>
                <w:lang w:val="en-US" w:eastAsia="zh-CN"/>
              </w:rPr>
              <w:t>Applicable</w:t>
            </w:r>
            <w:r>
              <w:rPr>
                <w:rFonts w:hint="eastAsia" w:cs="Times New Roman"/>
                <w:sz w:val="20"/>
                <w:szCs w:val="22"/>
                <w:highlight w:val="none"/>
                <w:vertAlign w:val="baseli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81" w:type="dxa"/>
            <w:noWrap w:val="0"/>
            <w:vAlign w:val="top"/>
          </w:tcPr>
          <w:p>
            <w:pPr>
              <w:overflowPunct w:val="0"/>
              <w:autoSpaceDE w:val="0"/>
              <w:autoSpaceDN w:val="0"/>
              <w:adjustRightInd w:val="0"/>
              <w:jc w:val="both"/>
              <w:textAlignment w:val="baseline"/>
              <w:rPr>
                <w:rFonts w:hint="eastAsia" w:ascii="Times New Roman" w:hAnsi="Times New Roman" w:eastAsia="宋体" w:cs="Times New Roman"/>
                <w:sz w:val="20"/>
                <w:szCs w:val="22"/>
                <w:highlight w:val="none"/>
                <w:vertAlign w:val="baseline"/>
                <w:lang w:val="en-US" w:eastAsia="zh-CN"/>
              </w:rPr>
            </w:pPr>
            <w:r>
              <w:t>NR-</w:t>
            </w:r>
            <w:r>
              <w:rPr>
                <w:rFonts w:hint="eastAsia"/>
                <w:lang w:val="en-US" w:eastAsia="zh-CN"/>
              </w:rPr>
              <w:t>FR2-</w:t>
            </w:r>
            <w:r>
              <w:t>TM2</w:t>
            </w:r>
          </w:p>
        </w:tc>
        <w:tc>
          <w:tcPr>
            <w:tcW w:w="4981" w:type="dxa"/>
            <w:noWrap w:val="0"/>
            <w:vAlign w:val="top"/>
          </w:tcPr>
          <w:p>
            <w:pPr>
              <w:overflowPunct w:val="0"/>
              <w:autoSpaceDE w:val="0"/>
              <w:autoSpaceDN w:val="0"/>
              <w:adjustRightInd w:val="0"/>
              <w:jc w:val="both"/>
              <w:textAlignment w:val="baseline"/>
              <w:rPr>
                <w:rFonts w:hint="default" w:ascii="Times New Roman" w:hAnsi="Times New Roman" w:eastAsia="宋体" w:cs="Times New Roman"/>
                <w:sz w:val="20"/>
                <w:szCs w:val="22"/>
                <w:highlight w:val="none"/>
                <w:vertAlign w:val="baseline"/>
                <w:lang w:val="en-US" w:eastAsia="zh-CN"/>
              </w:rPr>
            </w:pPr>
            <w:r>
              <w:rPr>
                <w:rFonts w:hint="eastAsia" w:ascii="Times New Roman" w:hAnsi="Times New Roman" w:eastAsia="宋体" w:cs="Times New Roman"/>
                <w:sz w:val="20"/>
                <w:szCs w:val="22"/>
                <w:highlight w:val="none"/>
                <w:vertAlign w:val="baseline"/>
                <w:lang w:val="en-US" w:eastAsia="zh-CN"/>
              </w:rPr>
              <w:t>Applicable</w:t>
            </w:r>
            <w:r>
              <w:rPr>
                <w:rFonts w:hint="eastAsia" w:cs="Times New Roman"/>
                <w:sz w:val="20"/>
                <w:szCs w:val="22"/>
                <w:highlight w:val="none"/>
                <w:vertAlign w:val="baseli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81" w:type="dxa"/>
            <w:noWrap w:val="0"/>
            <w:vAlign w:val="top"/>
          </w:tcPr>
          <w:p>
            <w:pPr>
              <w:overflowPunct w:val="0"/>
              <w:autoSpaceDE w:val="0"/>
              <w:autoSpaceDN w:val="0"/>
              <w:adjustRightInd w:val="0"/>
              <w:jc w:val="both"/>
              <w:textAlignment w:val="baseline"/>
              <w:rPr>
                <w:rFonts w:hint="eastAsia" w:ascii="Times New Roman" w:hAnsi="Times New Roman" w:eastAsia="宋体" w:cs="Times New Roman"/>
                <w:sz w:val="20"/>
                <w:szCs w:val="22"/>
                <w:highlight w:val="none"/>
                <w:vertAlign w:val="baseline"/>
                <w:lang w:val="en-US" w:eastAsia="zh-CN"/>
              </w:rPr>
            </w:pPr>
            <w:r>
              <w:t>NR-</w:t>
            </w:r>
            <w:r>
              <w:rPr>
                <w:lang w:val="en-US" w:eastAsia="zh-CN"/>
              </w:rPr>
              <w:t>FR2-</w:t>
            </w:r>
            <w:r>
              <w:t>TM2a</w:t>
            </w:r>
          </w:p>
        </w:tc>
        <w:tc>
          <w:tcPr>
            <w:tcW w:w="4981" w:type="dxa"/>
            <w:noWrap w:val="0"/>
            <w:vAlign w:val="top"/>
          </w:tcPr>
          <w:p>
            <w:pPr>
              <w:overflowPunct w:val="0"/>
              <w:autoSpaceDE w:val="0"/>
              <w:autoSpaceDN w:val="0"/>
              <w:adjustRightInd w:val="0"/>
              <w:jc w:val="both"/>
              <w:textAlignment w:val="baseline"/>
              <w:rPr>
                <w:rFonts w:hint="default" w:ascii="Times New Roman" w:hAnsi="Times New Roman" w:eastAsia="宋体" w:cs="Times New Roman"/>
                <w:sz w:val="20"/>
                <w:szCs w:val="22"/>
                <w:highlight w:val="none"/>
                <w:vertAlign w:val="baseline"/>
                <w:lang w:val="en-US" w:eastAsia="zh-CN"/>
              </w:rPr>
            </w:pPr>
            <w:r>
              <w:rPr>
                <w:rFonts w:hint="eastAsia" w:cs="Times New Roman"/>
                <w:sz w:val="20"/>
                <w:szCs w:val="22"/>
                <w:highlight w:val="none"/>
                <w:vertAlign w:val="baseline"/>
                <w:lang w:val="en-US" w:eastAsia="zh-CN"/>
              </w:rPr>
              <w:t>Not applicable, since 256QAM in FR2-2 DL is not supported in Rel-17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81" w:type="dxa"/>
            <w:noWrap w:val="0"/>
            <w:vAlign w:val="top"/>
          </w:tcPr>
          <w:p>
            <w:pPr>
              <w:overflowPunct w:val="0"/>
              <w:autoSpaceDE w:val="0"/>
              <w:autoSpaceDN w:val="0"/>
              <w:adjustRightInd w:val="0"/>
              <w:jc w:val="both"/>
              <w:textAlignment w:val="baseline"/>
              <w:rPr>
                <w:rFonts w:hint="eastAsia" w:ascii="Times New Roman" w:hAnsi="Times New Roman" w:eastAsia="宋体" w:cs="Times New Roman"/>
                <w:sz w:val="20"/>
                <w:szCs w:val="22"/>
                <w:highlight w:val="none"/>
                <w:vertAlign w:val="baseline"/>
                <w:lang w:val="en-US" w:eastAsia="zh-CN"/>
              </w:rPr>
            </w:pPr>
            <w:r>
              <w:t>NR-FR2-TM3.1</w:t>
            </w:r>
          </w:p>
        </w:tc>
        <w:tc>
          <w:tcPr>
            <w:tcW w:w="4981" w:type="dxa"/>
            <w:noWrap w:val="0"/>
            <w:vAlign w:val="top"/>
          </w:tcPr>
          <w:p>
            <w:pPr>
              <w:overflowPunct w:val="0"/>
              <w:autoSpaceDE w:val="0"/>
              <w:autoSpaceDN w:val="0"/>
              <w:adjustRightInd w:val="0"/>
              <w:jc w:val="both"/>
              <w:textAlignment w:val="baseline"/>
              <w:rPr>
                <w:rFonts w:hint="default" w:ascii="Times New Roman" w:hAnsi="Times New Roman" w:eastAsia="宋体" w:cs="Times New Roman"/>
                <w:sz w:val="20"/>
                <w:szCs w:val="22"/>
                <w:highlight w:val="none"/>
                <w:vertAlign w:val="baseline"/>
                <w:lang w:val="en-US" w:eastAsia="zh-CN"/>
              </w:rPr>
            </w:pPr>
            <w:r>
              <w:rPr>
                <w:rFonts w:hint="eastAsia" w:ascii="Times New Roman" w:hAnsi="Times New Roman" w:eastAsia="宋体" w:cs="Times New Roman"/>
                <w:sz w:val="20"/>
                <w:szCs w:val="22"/>
                <w:highlight w:val="none"/>
                <w:vertAlign w:val="baseline"/>
                <w:lang w:val="en-US" w:eastAsia="zh-CN"/>
              </w:rPr>
              <w:t xml:space="preserve">Not applicable since 256QAM is not supported.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81" w:type="dxa"/>
            <w:noWrap w:val="0"/>
            <w:vAlign w:val="top"/>
          </w:tcPr>
          <w:p>
            <w:pPr>
              <w:overflowPunct w:val="0"/>
              <w:autoSpaceDE w:val="0"/>
              <w:autoSpaceDN w:val="0"/>
              <w:adjustRightInd w:val="0"/>
              <w:jc w:val="both"/>
              <w:textAlignment w:val="baseline"/>
              <w:rPr>
                <w:rFonts w:hint="eastAsia" w:ascii="Times New Roman" w:hAnsi="Times New Roman" w:eastAsia="宋体" w:cs="Times New Roman"/>
                <w:sz w:val="20"/>
                <w:szCs w:val="22"/>
                <w:highlight w:val="none"/>
                <w:vertAlign w:val="baseline"/>
                <w:lang w:val="en-US" w:eastAsia="zh-CN"/>
              </w:rPr>
            </w:pPr>
            <w:r>
              <w:t>NR-FR2-TM3.1a</w:t>
            </w:r>
          </w:p>
        </w:tc>
        <w:tc>
          <w:tcPr>
            <w:tcW w:w="4981" w:type="dxa"/>
            <w:noWrap w:val="0"/>
            <w:vAlign w:val="top"/>
          </w:tcPr>
          <w:p>
            <w:pPr>
              <w:overflowPunct w:val="0"/>
              <w:autoSpaceDE w:val="0"/>
              <w:autoSpaceDN w:val="0"/>
              <w:adjustRightInd w:val="0"/>
              <w:jc w:val="both"/>
              <w:textAlignment w:val="baseline"/>
              <w:rPr>
                <w:rFonts w:hint="default" w:ascii="Times New Roman" w:hAnsi="Times New Roman" w:eastAsia="宋体" w:cs="Times New Roman"/>
                <w:sz w:val="20"/>
                <w:szCs w:val="22"/>
                <w:highlight w:val="none"/>
                <w:vertAlign w:val="baseline"/>
                <w:lang w:val="en-US" w:eastAsia="zh-CN"/>
              </w:rPr>
            </w:pPr>
            <w:r>
              <w:rPr>
                <w:rFonts w:hint="eastAsia" w:cs="Times New Roman"/>
                <w:sz w:val="20"/>
                <w:szCs w:val="22"/>
                <w:highlight w:val="none"/>
                <w:vertAlign w:val="baseline"/>
                <w:lang w:val="en-US" w:eastAsia="zh-CN"/>
              </w:rPr>
              <w:t>Not applicable, since 256QAM in FR2-2 DL is not supported in Rel-17</w:t>
            </w:r>
          </w:p>
        </w:tc>
      </w:tr>
    </w:tbl>
    <w:p>
      <w:pPr>
        <w:pBdr>
          <w:top w:val="none" w:color="auto" w:sz="0" w:space="0"/>
          <w:left w:val="none" w:color="auto" w:sz="0" w:space="0"/>
          <w:bottom w:val="none" w:color="000000" w:sz="0" w:space="0"/>
          <w:right w:val="none" w:color="auto" w:sz="0" w:space="0"/>
          <w:between w:val="none" w:color="auto" w:sz="0" w:space="0"/>
        </w:pBdr>
        <w:overflowPunct w:val="0"/>
        <w:autoSpaceDE w:val="0"/>
        <w:autoSpaceDN w:val="0"/>
        <w:adjustRightInd w:val="0"/>
        <w:jc w:val="both"/>
        <w:textAlignment w:val="baseline"/>
        <w:rPr>
          <w:rFonts w:hint="eastAsia" w:ascii="Times New Roman" w:hAnsi="Times New Roman" w:eastAsia="宋体" w:cs="Times New Roman"/>
          <w:sz w:val="20"/>
          <w:szCs w:val="22"/>
          <w:highlight w:val="none"/>
          <w:lang w:val="en-US" w:eastAsia="zh-CN"/>
        </w:rPr>
      </w:pPr>
    </w:p>
    <w:p>
      <w:pPr>
        <w:pBdr>
          <w:top w:val="none" w:color="auto" w:sz="0" w:space="0"/>
          <w:left w:val="none" w:color="auto" w:sz="0" w:space="0"/>
          <w:bottom w:val="none" w:color="000000" w:sz="0" w:space="0"/>
          <w:right w:val="none" w:color="auto" w:sz="0" w:space="0"/>
          <w:between w:val="none" w:color="auto" w:sz="0" w:space="0"/>
        </w:pBdr>
        <w:overflowPunct w:val="0"/>
        <w:autoSpaceDE w:val="0"/>
        <w:autoSpaceDN w:val="0"/>
        <w:adjustRightInd w:val="0"/>
        <w:jc w:val="both"/>
        <w:textAlignment w:val="baseline"/>
        <w:rPr>
          <w:rFonts w:hint="eastAsia"/>
          <w:lang w:val="en-US" w:eastAsia="zh-CN"/>
        </w:rPr>
      </w:pPr>
      <w:r>
        <w:rPr>
          <w:rFonts w:hint="eastAsia" w:ascii="Times New Roman" w:hAnsi="Times New Roman" w:eastAsia="宋体" w:cs="Times New Roman"/>
          <w:b/>
          <w:bCs/>
          <w:sz w:val="20"/>
          <w:szCs w:val="22"/>
          <w:highlight w:val="none"/>
          <w:lang w:val="en-US" w:eastAsia="zh-CN"/>
        </w:rPr>
        <w:t xml:space="preserve">Proposal </w:t>
      </w:r>
      <w:r>
        <w:rPr>
          <w:rFonts w:hint="eastAsia" w:cs="Times New Roman"/>
          <w:b/>
          <w:bCs/>
          <w:sz w:val="20"/>
          <w:szCs w:val="22"/>
          <w:highlight w:val="none"/>
          <w:lang w:val="en-US" w:eastAsia="zh-CN"/>
        </w:rPr>
        <w:t>5</w:t>
      </w:r>
      <w:r>
        <w:rPr>
          <w:rFonts w:hint="eastAsia" w:ascii="Times New Roman" w:hAnsi="Times New Roman" w:eastAsia="宋体" w:cs="Times New Roman"/>
          <w:b/>
          <w:bCs/>
          <w:sz w:val="20"/>
          <w:szCs w:val="22"/>
          <w:highlight w:val="none"/>
          <w:lang w:val="en-US" w:eastAsia="zh-CN"/>
        </w:rPr>
        <w:t>:</w:t>
      </w:r>
      <w:r>
        <w:rPr>
          <w:rFonts w:hint="eastAsia" w:ascii="Times New Roman" w:hAnsi="Times New Roman" w:eastAsia="宋体" w:cs="Times New Roman"/>
          <w:sz w:val="20"/>
          <w:szCs w:val="22"/>
          <w:highlight w:val="none"/>
          <w:lang w:val="en-US" w:eastAsia="zh-CN"/>
        </w:rPr>
        <w:t xml:space="preserve"> </w:t>
      </w:r>
      <w:r>
        <w:rPr>
          <w:rFonts w:hint="eastAsia" w:cs="Times New Roman"/>
          <w:sz w:val="20"/>
          <w:szCs w:val="22"/>
          <w:highlight w:val="none"/>
          <w:lang w:val="en-US" w:eastAsia="zh-CN"/>
        </w:rPr>
        <w:t xml:space="preserve">only NR-FR2-TM1.1, </w:t>
      </w:r>
      <w:r>
        <w:t>NR-</w:t>
      </w:r>
      <w:r>
        <w:rPr>
          <w:rFonts w:hint="eastAsia"/>
          <w:lang w:val="en-US" w:eastAsia="zh-CN"/>
        </w:rPr>
        <w:t>FR2-</w:t>
      </w:r>
      <w:r>
        <w:t>TM2</w:t>
      </w:r>
      <w:r>
        <w:rPr>
          <w:rFonts w:hint="eastAsia"/>
          <w:lang w:val="en-US" w:eastAsia="zh-CN"/>
        </w:rPr>
        <w:t xml:space="preserve"> and </w:t>
      </w:r>
      <w:r>
        <w:t>NR-FR2-TM3.1</w:t>
      </w:r>
      <w:r>
        <w:rPr>
          <w:rFonts w:hint="eastAsia"/>
          <w:lang w:val="en-US" w:eastAsia="zh-CN"/>
        </w:rPr>
        <w:t xml:space="preserve"> are applicable for FR2-2.</w:t>
      </w:r>
    </w:p>
    <w:p>
      <w:pPr>
        <w:pBdr>
          <w:top w:val="none" w:color="auto" w:sz="0" w:space="0"/>
          <w:left w:val="none" w:color="auto" w:sz="0" w:space="0"/>
          <w:bottom w:val="none" w:color="000000" w:sz="0" w:space="0"/>
          <w:right w:val="none" w:color="auto" w:sz="0" w:space="0"/>
          <w:between w:val="none" w:color="auto" w:sz="0" w:space="0"/>
        </w:pBdr>
        <w:overflowPunct w:val="0"/>
        <w:autoSpaceDE w:val="0"/>
        <w:autoSpaceDN w:val="0"/>
        <w:adjustRightInd w:val="0"/>
        <w:jc w:val="both"/>
        <w:textAlignment w:val="baseline"/>
        <w:rPr>
          <w:rFonts w:hint="default"/>
          <w:lang w:val="en-US" w:eastAsia="zh-CN"/>
        </w:rPr>
      </w:pPr>
    </w:p>
    <w:p>
      <w:pPr>
        <w:keepNext w:val="0"/>
        <w:keepLines w:val="0"/>
        <w:pageBreakBefore w:val="0"/>
        <w:widowControl w:val="0"/>
        <w:numPr>
          <w:ilvl w:val="0"/>
          <w:numId w:val="0"/>
        </w:numPr>
        <w:pBdr>
          <w:top w:val="none" w:color="auto" w:sz="0" w:space="0"/>
          <w:left w:val="none" w:color="auto" w:sz="0" w:space="0"/>
          <w:bottom w:val="none" w:color="000000" w:sz="0" w:space="0"/>
          <w:right w:val="none" w:color="auto" w:sz="0" w:space="0"/>
          <w:between w:val="none" w:color="auto" w:sz="0" w:space="0"/>
        </w:pBdr>
        <w:kinsoku/>
        <w:wordWrap/>
        <w:overflowPunct w:val="0"/>
        <w:topLinePunct w:val="0"/>
        <w:autoSpaceDE w:val="0"/>
        <w:autoSpaceDN w:val="0"/>
        <w:bidi w:val="0"/>
        <w:adjustRightInd w:val="0"/>
        <w:snapToGrid/>
        <w:ind w:leftChars="0"/>
        <w:jc w:val="both"/>
        <w:textAlignment w:val="baseline"/>
        <w:outlineLvl w:val="1"/>
        <w:rPr>
          <w:rFonts w:hint="eastAsia" w:ascii="Times New Roman" w:hAnsi="Times New Roman" w:eastAsia="宋体" w:cs="Times New Roman"/>
          <w:b w:val="0"/>
          <w:bCs w:val="0"/>
          <w:sz w:val="20"/>
          <w:szCs w:val="22"/>
          <w:highlight w:val="none"/>
          <w:lang w:val="en-US" w:eastAsia="zh-CN"/>
        </w:rPr>
      </w:pPr>
      <w:r>
        <w:rPr>
          <w:rFonts w:hint="eastAsia" w:ascii="Arial" w:hAnsi="Arial" w:eastAsia="宋体" w:cs="Arial"/>
          <w:sz w:val="24"/>
          <w:szCs w:val="24"/>
          <w:highlight w:val="none"/>
          <w:lang w:val="en-US" w:eastAsia="zh-CN"/>
        </w:rPr>
        <w:t>2.2. Measurement setup for conformance testing.</w:t>
      </w:r>
    </w:p>
    <w:p>
      <w:pPr>
        <w:pBdr>
          <w:top w:val="none" w:color="auto" w:sz="0" w:space="0"/>
          <w:left w:val="none" w:color="auto" w:sz="0" w:space="0"/>
          <w:bottom w:val="none" w:color="000000" w:sz="0" w:space="0"/>
          <w:right w:val="none" w:color="auto" w:sz="0" w:space="0"/>
          <w:between w:val="none" w:color="auto" w:sz="0" w:space="0"/>
        </w:pBdr>
        <w:overflowPunct w:val="0"/>
        <w:autoSpaceDE w:val="0"/>
        <w:autoSpaceDN w:val="0"/>
        <w:adjustRightInd w:val="0"/>
        <w:jc w:val="both"/>
        <w:textAlignment w:val="baseline"/>
        <w:rPr>
          <w:rFonts w:hint="eastAsia" w:cs="Times New Roman"/>
          <w:b w:val="0"/>
          <w:bCs w:val="0"/>
          <w:sz w:val="20"/>
          <w:szCs w:val="22"/>
          <w:highlight w:val="none"/>
          <w:lang w:val="en-US" w:eastAsia="zh-CN"/>
        </w:rPr>
      </w:pPr>
      <w:r>
        <w:rPr>
          <w:rFonts w:hint="eastAsia" w:cs="Times New Roman"/>
          <w:b w:val="0"/>
          <w:bCs w:val="0"/>
          <w:sz w:val="20"/>
          <w:szCs w:val="22"/>
          <w:highlight w:val="none"/>
          <w:lang w:val="en-US" w:eastAsia="zh-CN"/>
        </w:rPr>
        <w:t>The existing measurement setup for BS type 1-O and BS type 2-O in TS38.141-2 Annex is generic, therefore we think that the existing measurement setup framework could also been applicable for FR2-2.</w:t>
      </w:r>
    </w:p>
    <w:p>
      <w:pPr>
        <w:pBdr>
          <w:top w:val="none" w:color="auto" w:sz="0" w:space="0"/>
          <w:left w:val="none" w:color="auto" w:sz="0" w:space="0"/>
          <w:bottom w:val="none" w:color="000000" w:sz="0" w:space="0"/>
          <w:right w:val="none" w:color="auto" w:sz="0" w:space="0"/>
          <w:between w:val="none" w:color="auto" w:sz="0" w:space="0"/>
        </w:pBdr>
        <w:overflowPunct w:val="0"/>
        <w:autoSpaceDE w:val="0"/>
        <w:autoSpaceDN w:val="0"/>
        <w:adjustRightInd w:val="0"/>
        <w:jc w:val="both"/>
        <w:textAlignment w:val="baseline"/>
        <w:rPr>
          <w:rFonts w:hint="default" w:cs="Times New Roman"/>
          <w:b w:val="0"/>
          <w:bCs w:val="0"/>
          <w:sz w:val="20"/>
          <w:szCs w:val="22"/>
          <w:highlight w:val="none"/>
          <w:lang w:val="en-US" w:eastAsia="zh-CN"/>
        </w:rPr>
      </w:pPr>
      <w:r>
        <w:rPr>
          <w:rFonts w:hint="eastAsia" w:cs="Times New Roman"/>
          <w:b/>
          <w:bCs/>
          <w:sz w:val="20"/>
          <w:szCs w:val="22"/>
          <w:highlight w:val="none"/>
          <w:lang w:val="en-US" w:eastAsia="zh-CN"/>
        </w:rPr>
        <w:t>Proposal 6:</w:t>
      </w:r>
      <w:r>
        <w:rPr>
          <w:rFonts w:hint="eastAsia" w:cs="Times New Roman"/>
          <w:b w:val="0"/>
          <w:bCs w:val="0"/>
          <w:sz w:val="20"/>
          <w:szCs w:val="22"/>
          <w:highlight w:val="none"/>
          <w:lang w:val="en-US" w:eastAsia="zh-CN"/>
        </w:rPr>
        <w:t xml:space="preserve"> the existing measurement setup framework in TS 38.141-2 Annex D and Annex E could also been applicable for FR2-2.</w:t>
      </w:r>
    </w:p>
    <w:p>
      <w:pPr>
        <w:keepNext w:val="0"/>
        <w:keepLines w:val="0"/>
        <w:pageBreakBefore w:val="0"/>
        <w:widowControl w:val="0"/>
        <w:numPr>
          <w:ilvl w:val="0"/>
          <w:numId w:val="0"/>
        </w:numPr>
        <w:pBdr>
          <w:top w:val="none" w:color="auto" w:sz="0" w:space="0"/>
          <w:left w:val="none" w:color="auto" w:sz="0" w:space="0"/>
          <w:bottom w:val="none" w:color="000000" w:sz="0" w:space="0"/>
          <w:right w:val="none" w:color="auto" w:sz="0" w:space="0"/>
          <w:between w:val="none" w:color="auto" w:sz="0" w:space="0"/>
        </w:pBdr>
        <w:kinsoku/>
        <w:wordWrap/>
        <w:overflowPunct w:val="0"/>
        <w:topLinePunct w:val="0"/>
        <w:autoSpaceDE w:val="0"/>
        <w:autoSpaceDN w:val="0"/>
        <w:bidi w:val="0"/>
        <w:adjustRightInd w:val="0"/>
        <w:snapToGrid/>
        <w:ind w:leftChars="0"/>
        <w:jc w:val="both"/>
        <w:textAlignment w:val="baseline"/>
        <w:outlineLvl w:val="1"/>
        <w:rPr>
          <w:rFonts w:hint="eastAsia" w:ascii="Times New Roman" w:hAnsi="Times New Roman" w:eastAsia="宋体" w:cs="Times New Roman"/>
          <w:b w:val="0"/>
          <w:bCs w:val="0"/>
          <w:sz w:val="20"/>
          <w:szCs w:val="22"/>
          <w:highlight w:val="none"/>
          <w:lang w:val="en-US" w:eastAsia="zh-CN"/>
        </w:rPr>
      </w:pPr>
      <w:r>
        <w:rPr>
          <w:rFonts w:hint="eastAsia" w:ascii="Arial" w:hAnsi="Arial" w:eastAsia="宋体" w:cs="Arial"/>
          <w:sz w:val="24"/>
          <w:szCs w:val="24"/>
          <w:highlight w:val="none"/>
          <w:lang w:val="en-US" w:eastAsia="zh-CN"/>
        </w:rPr>
        <w:t>2.</w:t>
      </w:r>
      <w:r>
        <w:rPr>
          <w:rFonts w:hint="eastAsia" w:ascii="Arial" w:hAnsi="Arial" w:cs="Arial"/>
          <w:sz w:val="24"/>
          <w:szCs w:val="24"/>
          <w:highlight w:val="none"/>
          <w:lang w:val="en-US" w:eastAsia="zh-CN"/>
        </w:rPr>
        <w:t>3</w:t>
      </w:r>
      <w:r>
        <w:rPr>
          <w:rFonts w:hint="eastAsia" w:ascii="Arial" w:hAnsi="Arial" w:eastAsia="宋体" w:cs="Arial"/>
          <w:sz w:val="24"/>
          <w:szCs w:val="24"/>
          <w:highlight w:val="none"/>
          <w:lang w:val="en-US" w:eastAsia="zh-CN"/>
        </w:rPr>
        <w:t xml:space="preserve">. Measurement </w:t>
      </w:r>
      <w:r>
        <w:rPr>
          <w:rFonts w:hint="eastAsia" w:ascii="Arial" w:hAnsi="Arial" w:cs="Arial"/>
          <w:sz w:val="24"/>
          <w:szCs w:val="24"/>
          <w:highlight w:val="none"/>
          <w:lang w:val="en-US" w:eastAsia="zh-CN"/>
        </w:rPr>
        <w:t>uncertainty</w:t>
      </w:r>
      <w:r>
        <w:rPr>
          <w:rFonts w:hint="eastAsia" w:ascii="Arial" w:hAnsi="Arial" w:eastAsia="宋体" w:cs="Arial"/>
          <w:sz w:val="24"/>
          <w:szCs w:val="24"/>
          <w:highlight w:val="none"/>
          <w:lang w:val="en-US" w:eastAsia="zh-CN"/>
        </w:rPr>
        <w:t xml:space="preserve"> for conformance testing.</w:t>
      </w:r>
    </w:p>
    <w:p>
      <w:pPr>
        <w:pBdr>
          <w:top w:val="none" w:color="auto" w:sz="0" w:space="0"/>
          <w:left w:val="none" w:color="auto" w:sz="0" w:space="0"/>
          <w:bottom w:val="none" w:color="000000" w:sz="0" w:space="0"/>
          <w:right w:val="none" w:color="auto" w:sz="0" w:space="0"/>
          <w:between w:val="none" w:color="auto" w:sz="0" w:space="0"/>
        </w:pBdr>
        <w:overflowPunct w:val="0"/>
        <w:autoSpaceDE w:val="0"/>
        <w:autoSpaceDN w:val="0"/>
        <w:adjustRightInd w:val="0"/>
        <w:jc w:val="both"/>
        <w:textAlignment w:val="baseline"/>
        <w:rPr>
          <w:rFonts w:hint="eastAsia" w:cs="Times New Roman"/>
          <w:b w:val="0"/>
          <w:bCs w:val="0"/>
          <w:sz w:val="20"/>
          <w:szCs w:val="22"/>
          <w:highlight w:val="none"/>
          <w:lang w:val="en-US" w:eastAsia="zh-CN"/>
        </w:rPr>
      </w:pPr>
      <w:r>
        <w:rPr>
          <w:rFonts w:hint="eastAsia" w:cs="Times New Roman"/>
          <w:b w:val="0"/>
          <w:bCs w:val="0"/>
          <w:sz w:val="20"/>
          <w:szCs w:val="22"/>
          <w:highlight w:val="none"/>
          <w:lang w:val="en-US" w:eastAsia="zh-CN"/>
        </w:rPr>
        <w:t>For measurement uncertainty of FR2-2, this should reply on the testing vendors</w:t>
      </w:r>
      <w:r>
        <w:rPr>
          <w:rFonts w:hint="default" w:cs="Times New Roman"/>
          <w:b w:val="0"/>
          <w:bCs w:val="0"/>
          <w:sz w:val="20"/>
          <w:szCs w:val="22"/>
          <w:highlight w:val="none"/>
          <w:lang w:val="en-US" w:eastAsia="zh-CN"/>
        </w:rPr>
        <w:t>’</w:t>
      </w:r>
      <w:r>
        <w:rPr>
          <w:rFonts w:hint="eastAsia" w:cs="Times New Roman"/>
          <w:b w:val="0"/>
          <w:bCs w:val="0"/>
          <w:sz w:val="20"/>
          <w:szCs w:val="22"/>
          <w:highlight w:val="none"/>
          <w:lang w:val="en-US" w:eastAsia="zh-CN"/>
        </w:rPr>
        <w:t xml:space="preserve"> feedback on its budget of its chamber. In addition, the upper frequency limit for spurious emission measurement should also been further discussed.</w:t>
      </w:r>
    </w:p>
    <w:p>
      <w:pPr>
        <w:pBdr>
          <w:top w:val="none" w:color="auto" w:sz="0" w:space="0"/>
          <w:left w:val="none" w:color="auto" w:sz="0" w:space="0"/>
          <w:bottom w:val="none" w:color="000000" w:sz="0" w:space="0"/>
          <w:right w:val="none" w:color="auto" w:sz="0" w:space="0"/>
          <w:between w:val="none" w:color="auto" w:sz="0" w:space="0"/>
        </w:pBdr>
        <w:overflowPunct w:val="0"/>
        <w:autoSpaceDE w:val="0"/>
        <w:autoSpaceDN w:val="0"/>
        <w:adjustRightInd w:val="0"/>
        <w:jc w:val="both"/>
        <w:textAlignment w:val="baseline"/>
        <w:rPr>
          <w:rFonts w:hint="default" w:cs="Times New Roman"/>
          <w:b w:val="0"/>
          <w:bCs w:val="0"/>
          <w:sz w:val="20"/>
          <w:szCs w:val="22"/>
          <w:highlight w:val="none"/>
          <w:lang w:val="en-US" w:eastAsia="zh-CN"/>
        </w:rPr>
      </w:pPr>
      <w:r>
        <w:rPr>
          <w:rFonts w:hint="eastAsia" w:cs="Times New Roman"/>
          <w:b/>
          <w:bCs/>
          <w:sz w:val="20"/>
          <w:szCs w:val="22"/>
          <w:highlight w:val="none"/>
          <w:lang w:val="en-US" w:eastAsia="zh-CN"/>
        </w:rPr>
        <w:t>Proposal 7:</w:t>
      </w:r>
      <w:r>
        <w:rPr>
          <w:rFonts w:hint="eastAsia" w:cs="Times New Roman"/>
          <w:b w:val="0"/>
          <w:bCs w:val="0"/>
          <w:sz w:val="20"/>
          <w:szCs w:val="22"/>
          <w:highlight w:val="none"/>
          <w:lang w:val="en-US" w:eastAsia="zh-CN"/>
        </w:rPr>
        <w:t xml:space="preserve"> to further discuss the feasibility of measurement of the upper limit of spurious emission requirements of FR2-2.</w:t>
      </w:r>
    </w:p>
    <w:bookmarkEnd w:id="1"/>
    <w:bookmarkEnd w:id="2"/>
    <w:bookmarkEnd w:id="3"/>
    <w:bookmarkEnd w:id="4"/>
    <w:p>
      <w:pPr>
        <w:pStyle w:val="53"/>
        <w:tabs>
          <w:tab w:val="left" w:pos="567"/>
          <w:tab w:val="clear" w:pos="1985"/>
        </w:tabs>
        <w:adjustRightInd w:val="0"/>
        <w:ind w:left="510" w:hanging="510"/>
      </w:pPr>
      <w:r>
        <w:t>Conclusions</w:t>
      </w:r>
    </w:p>
    <w:p>
      <w:pPr>
        <w:rPr>
          <w:rFonts w:hint="eastAsia"/>
          <w:kern w:val="0"/>
          <w:sz w:val="20"/>
          <w:szCs w:val="20"/>
          <w:lang w:val="en-US" w:eastAsia="zh-CN"/>
        </w:rPr>
      </w:pPr>
      <w:r>
        <w:rPr>
          <w:rFonts w:hint="eastAsia" w:eastAsia="Times New Roman"/>
          <w:kern w:val="0"/>
          <w:sz w:val="20"/>
          <w:szCs w:val="20"/>
        </w:rPr>
        <w:t>In this contribution,</w:t>
      </w:r>
      <w:r>
        <w:rPr>
          <w:rFonts w:hint="eastAsia"/>
          <w:kern w:val="0"/>
          <w:sz w:val="20"/>
          <w:szCs w:val="20"/>
        </w:rPr>
        <w:t xml:space="preserve"> we want to further</w:t>
      </w:r>
      <w:r>
        <w:rPr>
          <w:rFonts w:hint="eastAsia"/>
          <w:kern w:val="0"/>
          <w:sz w:val="20"/>
          <w:szCs w:val="20"/>
          <w:lang w:val="en-US" w:eastAsia="zh-CN"/>
        </w:rPr>
        <w:t xml:space="preserve"> considerations on each BS Tx requirements for 60GHz and some proposals and observations are made as following:</w:t>
      </w:r>
    </w:p>
    <w:p>
      <w:pPr>
        <w:pBdr>
          <w:top w:val="none" w:color="auto" w:sz="0" w:space="0"/>
          <w:left w:val="none" w:color="auto" w:sz="0" w:space="0"/>
          <w:bottom w:val="none" w:color="000000" w:sz="0" w:space="0"/>
          <w:right w:val="none" w:color="auto" w:sz="0" w:space="0"/>
          <w:between w:val="none" w:color="auto" w:sz="0" w:space="0"/>
        </w:pBdr>
        <w:overflowPunct w:val="0"/>
        <w:autoSpaceDE w:val="0"/>
        <w:autoSpaceDN w:val="0"/>
        <w:adjustRightInd w:val="0"/>
        <w:jc w:val="both"/>
        <w:textAlignment w:val="baseline"/>
        <w:rPr>
          <w:rFonts w:hint="eastAsia"/>
          <w:lang w:val="en-US" w:eastAsia="zh-CN"/>
        </w:rPr>
      </w:pPr>
      <w:r>
        <w:rPr>
          <w:rFonts w:hint="eastAsia" w:ascii="Times New Roman" w:hAnsi="Times New Roman" w:eastAsia="宋体" w:cs="Times New Roman"/>
          <w:b/>
          <w:bCs/>
          <w:sz w:val="20"/>
          <w:szCs w:val="22"/>
          <w:highlight w:val="none"/>
          <w:lang w:val="en-US" w:eastAsia="zh-CN"/>
        </w:rPr>
        <w:t>Proposal 1:</w:t>
      </w:r>
      <w:r>
        <w:rPr>
          <w:rFonts w:hint="eastAsia" w:ascii="Times New Roman" w:hAnsi="Times New Roman" w:eastAsia="宋体" w:cs="Times New Roman"/>
          <w:b w:val="0"/>
          <w:bCs w:val="0"/>
          <w:sz w:val="20"/>
          <w:szCs w:val="22"/>
          <w:highlight w:val="none"/>
          <w:lang w:val="en-US" w:eastAsia="zh-CN"/>
        </w:rPr>
        <w:t xml:space="preserve"> to</w:t>
      </w:r>
      <w:r>
        <w:rPr>
          <w:rFonts w:hint="eastAsia" w:cs="Times New Roman"/>
          <w:b w:val="0"/>
          <w:bCs w:val="0"/>
          <w:sz w:val="20"/>
          <w:szCs w:val="22"/>
          <w:highlight w:val="none"/>
          <w:lang w:val="en-US" w:eastAsia="zh-CN"/>
        </w:rPr>
        <w:t xml:space="preserve"> define the TC signals for 52.6-71GHz as shown in Table </w:t>
      </w:r>
      <w:r>
        <w:t>Table 4.7.2.1-2</w:t>
      </w:r>
      <w:r>
        <w:rPr>
          <w:rFonts w:hint="eastAsia"/>
          <w:lang w:val="en-US" w:eastAsia="zh-CN"/>
        </w:rPr>
        <w:t>a.</w:t>
      </w:r>
    </w:p>
    <w:p>
      <w:pPr>
        <w:pStyle w:val="42"/>
        <w:rPr>
          <w:lang w:val="en-US"/>
        </w:rPr>
      </w:pPr>
      <w:r>
        <w:t>Table 4.7.2.1-2</w:t>
      </w:r>
      <w:r>
        <w:rPr>
          <w:rFonts w:hint="eastAsia"/>
          <w:lang w:val="en-US" w:eastAsia="zh-CN"/>
        </w:rPr>
        <w:t>a</w:t>
      </w:r>
      <w:r>
        <w:t xml:space="preserve">: Signal to be used to build NR TCs for </w:t>
      </w:r>
      <w:r>
        <w:rPr>
          <w:rFonts w:hint="eastAsia"/>
          <w:lang w:val="en-US" w:eastAsia="zh-CN"/>
        </w:rPr>
        <w:t xml:space="preserve">FR2-2 </w:t>
      </w:r>
      <w:r>
        <w:rPr>
          <w:i/>
        </w:rPr>
        <w:t>BS type 2-O</w:t>
      </w:r>
    </w:p>
    <w:tbl>
      <w:tblPr>
        <w:tblStyle w:val="2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2"/>
        <w:gridCol w:w="1968"/>
        <w:gridCol w:w="39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950" w:type="dxa"/>
            <w:gridSpan w:val="2"/>
            <w:shd w:val="clear" w:color="auto" w:fill="auto"/>
          </w:tcPr>
          <w:p>
            <w:pPr>
              <w:pStyle w:val="32"/>
              <w:rPr>
                <w:lang w:val="en-US" w:eastAsia="zh-CN"/>
              </w:rPr>
            </w:pPr>
            <w:r>
              <w:rPr>
                <w:i/>
                <w:lang w:val="en-US"/>
              </w:rPr>
              <w:t>Operating band</w:t>
            </w:r>
            <w:r>
              <w:rPr>
                <w:lang w:val="en-US"/>
              </w:rPr>
              <w:t xml:space="preserve"> characteristics</w:t>
            </w:r>
          </w:p>
        </w:tc>
        <w:tc>
          <w:tcPr>
            <w:tcW w:w="3936" w:type="dxa"/>
            <w:shd w:val="clear" w:color="auto" w:fill="auto"/>
          </w:tcPr>
          <w:p>
            <w:pPr>
              <w:pStyle w:val="32"/>
              <w:rPr>
                <w:lang w:val="en-US"/>
              </w:rPr>
            </w:pPr>
            <w:r>
              <w:t>F</w:t>
            </w:r>
            <w:r>
              <w:rPr>
                <w:vertAlign w:val="subscript"/>
              </w:rPr>
              <w:t>DL_high</w:t>
            </w:r>
            <w:r>
              <w:t xml:space="preserve"> – F</w:t>
            </w:r>
            <w:r>
              <w:rPr>
                <w:vertAlign w:val="subscript"/>
              </w:rPr>
              <w:t>DL_low</w:t>
            </w:r>
            <w:r>
              <w:t xml:space="preserve"> </w:t>
            </w:r>
            <w:r>
              <w:rPr>
                <w:rFonts w:cs="Arial"/>
              </w:rPr>
              <w:t>≤</w:t>
            </w:r>
            <w:r>
              <w:t xml:space="preserve"> </w:t>
            </w:r>
            <w:r>
              <w:rPr>
                <w:rFonts w:hint="eastAsia" w:eastAsia="宋体"/>
                <w:lang w:val="en-US" w:eastAsia="zh-CN"/>
              </w:rPr>
              <w:t>5000</w:t>
            </w:r>
            <w:r>
              <w:t xml:space="preserve">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82" w:type="dxa"/>
            <w:tcBorders>
              <w:bottom w:val="nil"/>
            </w:tcBorders>
            <w:shd w:val="clear" w:color="auto" w:fill="auto"/>
          </w:tcPr>
          <w:p>
            <w:pPr>
              <w:pStyle w:val="34"/>
              <w:rPr>
                <w:lang w:val="en-US"/>
              </w:rPr>
            </w:pPr>
            <w:r>
              <w:rPr>
                <w:lang w:val="en-US"/>
              </w:rPr>
              <w:t>TC signal</w:t>
            </w:r>
          </w:p>
        </w:tc>
        <w:tc>
          <w:tcPr>
            <w:tcW w:w="1968" w:type="dxa"/>
          </w:tcPr>
          <w:p>
            <w:pPr>
              <w:pStyle w:val="34"/>
              <w:rPr>
                <w:lang w:val="en-US"/>
              </w:rPr>
            </w:pPr>
            <w:r>
              <w:rPr>
                <w:lang w:val="en-US" w:eastAsia="zh-CN"/>
              </w:rPr>
              <w:t>BW</w:t>
            </w:r>
            <w:r>
              <w:rPr>
                <w:vertAlign w:val="subscript"/>
                <w:lang w:val="en-US" w:eastAsia="zh-CN"/>
              </w:rPr>
              <w:t>channel</w:t>
            </w:r>
          </w:p>
        </w:tc>
        <w:tc>
          <w:tcPr>
            <w:tcW w:w="3936" w:type="dxa"/>
            <w:shd w:val="clear" w:color="auto" w:fill="auto"/>
          </w:tcPr>
          <w:p>
            <w:pPr>
              <w:pStyle w:val="34"/>
              <w:rPr>
                <w:lang w:val="en-US"/>
              </w:rPr>
            </w:pPr>
            <w:r>
              <w:rPr>
                <w:rFonts w:hint="eastAsia"/>
                <w:lang w:val="en-US" w:eastAsia="zh-CN"/>
              </w:rPr>
              <w:t>400</w:t>
            </w:r>
            <w:r>
              <w:rPr>
                <w:lang w:val="en-US"/>
              </w:rPr>
              <w:t xml:space="preserve"> MHz (Note 1,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82" w:type="dxa"/>
            <w:tcBorders>
              <w:top w:val="nil"/>
            </w:tcBorders>
            <w:shd w:val="clear" w:color="auto" w:fill="auto"/>
          </w:tcPr>
          <w:p>
            <w:pPr>
              <w:pStyle w:val="34"/>
            </w:pPr>
            <w:r>
              <w:rPr>
                <w:lang w:val="en-US"/>
              </w:rPr>
              <w:t>characteristics</w:t>
            </w:r>
          </w:p>
        </w:tc>
        <w:tc>
          <w:tcPr>
            <w:tcW w:w="1968" w:type="dxa"/>
          </w:tcPr>
          <w:p>
            <w:pPr>
              <w:pStyle w:val="34"/>
              <w:rPr>
                <w:lang w:val="en-US"/>
              </w:rPr>
            </w:pPr>
            <w:r>
              <w:rPr>
                <w:lang w:val="en-US"/>
              </w:rPr>
              <w:t>Subcarrier spacing</w:t>
            </w:r>
          </w:p>
        </w:tc>
        <w:tc>
          <w:tcPr>
            <w:tcW w:w="3936" w:type="dxa"/>
            <w:shd w:val="clear" w:color="auto" w:fill="auto"/>
          </w:tcPr>
          <w:p>
            <w:pPr>
              <w:pStyle w:val="34"/>
              <w:rPr>
                <w:lang w:val="en-US"/>
              </w:rPr>
            </w:pPr>
            <w:r>
              <w:rPr>
                <w:lang w:val="en-US"/>
              </w:rPr>
              <w:t>Smallest supported subcarrier spacing declared per operating band (D.7)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886" w:type="dxa"/>
            <w:gridSpan w:val="3"/>
            <w:shd w:val="clear" w:color="auto" w:fill="auto"/>
          </w:tcPr>
          <w:p>
            <w:pPr>
              <w:pStyle w:val="46"/>
              <w:rPr>
                <w:lang w:val="en-US"/>
              </w:rPr>
            </w:pPr>
            <w:r>
              <w:rPr>
                <w:lang w:val="en-US"/>
              </w:rPr>
              <w:t>NOTE 1:</w:t>
            </w:r>
            <w:r>
              <w:rPr>
                <w:lang w:val="en-US"/>
              </w:rPr>
              <w:tab/>
            </w:r>
            <w:r>
              <w:t xml:space="preserve">BS vendor can decide to test with </w:t>
            </w:r>
            <w:r>
              <w:rPr>
                <w:rFonts w:hint="eastAsia"/>
                <w:lang w:val="en-US" w:eastAsia="zh-CN"/>
              </w:rPr>
              <w:t>10</w:t>
            </w:r>
            <w:r>
              <w:t xml:space="preserve">0 MHz </w:t>
            </w:r>
            <w:r>
              <w:rPr>
                <w:i/>
              </w:rPr>
              <w:t>BS channel bandwidth</w:t>
            </w:r>
            <w:r>
              <w:t xml:space="preserve"> and smallest supported SCS </w:t>
            </w:r>
            <w:r>
              <w:rPr>
                <w:lang w:eastAsia="zh-CN"/>
              </w:rPr>
              <w:t xml:space="preserve">declared per </w:t>
            </w:r>
            <w:r>
              <w:rPr>
                <w:i/>
                <w:lang w:eastAsia="zh-CN"/>
              </w:rPr>
              <w:t>operating band</w:t>
            </w:r>
            <w:r>
              <w:rPr>
                <w:lang w:eastAsia="zh-CN"/>
              </w:rPr>
              <w:t xml:space="preserve"> </w:t>
            </w:r>
            <w:r>
              <w:rPr>
                <w:lang w:val="en-US"/>
              </w:rPr>
              <w:t xml:space="preserve">(D.7) </w:t>
            </w:r>
            <w:r>
              <w:t xml:space="preserve">instead of </w:t>
            </w:r>
            <w:r>
              <w:rPr>
                <w:rFonts w:hint="eastAsia"/>
                <w:lang w:val="en-US" w:eastAsia="zh-CN"/>
              </w:rPr>
              <w:t>4</w:t>
            </w:r>
            <w:r>
              <w:t xml:space="preserve">00 MHz </w:t>
            </w:r>
            <w:r>
              <w:rPr>
                <w:i/>
              </w:rPr>
              <w:t>BS channel bandwidth</w:t>
            </w:r>
            <w:r>
              <w:t xml:space="preserve"> in certain regions, where spectrum allocation and regulation require testing with </w:t>
            </w:r>
            <w:r>
              <w:rPr>
                <w:rFonts w:hint="eastAsia"/>
                <w:lang w:val="en-US" w:eastAsia="zh-CN"/>
              </w:rPr>
              <w:t>10</w:t>
            </w:r>
            <w:r>
              <w:t>0 MHz.</w:t>
            </w:r>
          </w:p>
          <w:p>
            <w:pPr>
              <w:pStyle w:val="46"/>
              <w:rPr>
                <w:lang w:val="en-US"/>
              </w:rPr>
            </w:pPr>
            <w:r>
              <w:rPr>
                <w:lang w:val="en-US"/>
              </w:rPr>
              <w:t>NOTE 2:</w:t>
            </w:r>
            <w:r>
              <w:rPr>
                <w:lang w:val="en-US"/>
              </w:rPr>
              <w:tab/>
            </w:r>
            <w:r>
              <w:rPr>
                <w:lang w:val="en-US"/>
              </w:rPr>
              <w:t xml:space="preserve">If this </w:t>
            </w:r>
            <w:r>
              <w:rPr>
                <w:i/>
                <w:lang w:val="en-US"/>
              </w:rPr>
              <w:t>BS channel bandwidth</w:t>
            </w:r>
            <w:r>
              <w:rPr>
                <w:lang w:val="en-US"/>
              </w:rPr>
              <w:t xml:space="preserve"> is not supported, the narrowest supported </w:t>
            </w:r>
            <w:r>
              <w:rPr>
                <w:i/>
                <w:lang w:val="en-US"/>
              </w:rPr>
              <w:t>BS channel bandwidth</w:t>
            </w:r>
            <w:r>
              <w:rPr>
                <w:lang w:val="en-US"/>
              </w:rPr>
              <w:t xml:space="preserve"> </w:t>
            </w:r>
            <w:r>
              <w:rPr>
                <w:lang w:eastAsia="zh-CN"/>
              </w:rPr>
              <w:t xml:space="preserve">declared per </w:t>
            </w:r>
            <w:r>
              <w:rPr>
                <w:i/>
                <w:lang w:eastAsia="zh-CN"/>
              </w:rPr>
              <w:t>operating band</w:t>
            </w:r>
            <w:r>
              <w:rPr>
                <w:lang w:eastAsia="zh-CN"/>
              </w:rPr>
              <w:t xml:space="preserve"> (D.7) </w:t>
            </w:r>
            <w:r>
              <w:rPr>
                <w:lang w:val="en-US"/>
              </w:rPr>
              <w:t>shall be used.</w:t>
            </w:r>
          </w:p>
        </w:tc>
      </w:tr>
    </w:tbl>
    <w:p>
      <w:pPr>
        <w:pBdr>
          <w:top w:val="none" w:color="auto" w:sz="0" w:space="0"/>
          <w:left w:val="none" w:color="auto" w:sz="0" w:space="0"/>
          <w:bottom w:val="none" w:color="000000" w:sz="0" w:space="0"/>
          <w:right w:val="none" w:color="auto" w:sz="0" w:space="0"/>
          <w:between w:val="none" w:color="auto" w:sz="0" w:space="0"/>
        </w:pBdr>
        <w:overflowPunct w:val="0"/>
        <w:autoSpaceDE w:val="0"/>
        <w:autoSpaceDN w:val="0"/>
        <w:adjustRightInd w:val="0"/>
        <w:jc w:val="both"/>
        <w:textAlignment w:val="baseline"/>
        <w:rPr>
          <w:rFonts w:hint="default"/>
          <w:lang w:val="en-US" w:eastAsia="zh-CN"/>
        </w:rPr>
      </w:pPr>
    </w:p>
    <w:p>
      <w:pPr>
        <w:pBdr>
          <w:top w:val="none" w:color="auto" w:sz="0" w:space="0"/>
          <w:left w:val="none" w:color="auto" w:sz="0" w:space="0"/>
          <w:bottom w:val="none" w:color="000000" w:sz="0" w:space="0"/>
          <w:right w:val="none" w:color="auto" w:sz="0" w:space="0"/>
          <w:between w:val="none" w:color="auto" w:sz="0" w:space="0"/>
        </w:pBdr>
        <w:overflowPunct w:val="0"/>
        <w:autoSpaceDE w:val="0"/>
        <w:autoSpaceDN w:val="0"/>
        <w:adjustRightInd w:val="0"/>
        <w:jc w:val="both"/>
        <w:textAlignment w:val="baseline"/>
        <w:rPr>
          <w:rFonts w:hint="eastAsia" w:cs="Times New Roman"/>
          <w:sz w:val="20"/>
          <w:szCs w:val="22"/>
          <w:highlight w:val="none"/>
          <w:lang w:val="en-US" w:eastAsia="zh-CN"/>
        </w:rPr>
      </w:pPr>
      <w:r>
        <w:rPr>
          <w:rFonts w:hint="eastAsia" w:cs="Times New Roman"/>
          <w:b/>
          <w:bCs/>
          <w:sz w:val="20"/>
          <w:szCs w:val="22"/>
          <w:highlight w:val="none"/>
          <w:lang w:val="en-US" w:eastAsia="zh-CN"/>
        </w:rPr>
        <w:t>Proposal 2:</w:t>
      </w:r>
      <w:r>
        <w:rPr>
          <w:rFonts w:hint="eastAsia" w:cs="Times New Roman"/>
          <w:sz w:val="20"/>
          <w:szCs w:val="22"/>
          <w:highlight w:val="none"/>
          <w:lang w:val="en-US" w:eastAsia="zh-CN"/>
        </w:rPr>
        <w:t xml:space="preserve"> only NRTC1 and NRTC2 is applicable for 52.6-71GHz;</w:t>
      </w:r>
    </w:p>
    <w:p>
      <w:pPr>
        <w:pBdr>
          <w:top w:val="none" w:color="auto" w:sz="0" w:space="0"/>
          <w:left w:val="none" w:color="auto" w:sz="0" w:space="0"/>
          <w:bottom w:val="none" w:color="000000" w:sz="0" w:space="0"/>
          <w:right w:val="none" w:color="auto" w:sz="0" w:space="0"/>
          <w:between w:val="none" w:color="auto" w:sz="0" w:space="0"/>
        </w:pBdr>
        <w:overflowPunct w:val="0"/>
        <w:autoSpaceDE w:val="0"/>
        <w:autoSpaceDN w:val="0"/>
        <w:adjustRightInd w:val="0"/>
        <w:jc w:val="both"/>
        <w:textAlignment w:val="baseline"/>
        <w:rPr>
          <w:rFonts w:hint="default" w:ascii="Times New Roman" w:hAnsi="Times New Roman" w:eastAsia="宋体" w:cs="Times New Roman"/>
          <w:sz w:val="20"/>
          <w:szCs w:val="22"/>
          <w:highlight w:val="none"/>
          <w:lang w:val="en-US" w:eastAsia="zh-CN"/>
        </w:rPr>
      </w:pPr>
      <w:r>
        <w:rPr>
          <w:rFonts w:hint="eastAsia" w:ascii="Times New Roman" w:hAnsi="Times New Roman" w:eastAsia="宋体" w:cs="Times New Roman"/>
          <w:b/>
          <w:bCs/>
          <w:sz w:val="20"/>
          <w:szCs w:val="22"/>
          <w:highlight w:val="none"/>
          <w:lang w:val="en-US" w:eastAsia="zh-CN"/>
        </w:rPr>
        <w:t>Proposal 3:</w:t>
      </w:r>
      <w:r>
        <w:rPr>
          <w:rFonts w:hint="eastAsia" w:ascii="Times New Roman" w:hAnsi="Times New Roman" w:eastAsia="宋体" w:cs="Times New Roman"/>
          <w:sz w:val="20"/>
          <w:szCs w:val="22"/>
          <w:highlight w:val="none"/>
          <w:lang w:val="en-US" w:eastAsia="zh-CN"/>
        </w:rPr>
        <w:t xml:space="preserve"> </w:t>
      </w:r>
      <w:r>
        <w:rPr>
          <w:rFonts w:hint="eastAsia" w:cs="Times New Roman"/>
          <w:sz w:val="20"/>
          <w:szCs w:val="22"/>
          <w:highlight w:val="none"/>
          <w:lang w:val="en-US" w:eastAsia="zh-CN"/>
        </w:rPr>
        <w:t>agree to reuse the existing test case for FR2-1 NR BS conformance testing for FR2-2.</w:t>
      </w:r>
    </w:p>
    <w:p>
      <w:pPr>
        <w:pBdr>
          <w:top w:val="none" w:color="auto" w:sz="0" w:space="0"/>
          <w:left w:val="none" w:color="auto" w:sz="0" w:space="0"/>
          <w:bottom w:val="none" w:color="000000" w:sz="0" w:space="0"/>
          <w:right w:val="none" w:color="auto" w:sz="0" w:space="0"/>
          <w:between w:val="none" w:color="auto" w:sz="0" w:space="0"/>
        </w:pBdr>
        <w:overflowPunct w:val="0"/>
        <w:autoSpaceDE w:val="0"/>
        <w:autoSpaceDN w:val="0"/>
        <w:adjustRightInd w:val="0"/>
        <w:jc w:val="both"/>
        <w:textAlignment w:val="baseline"/>
        <w:rPr>
          <w:rFonts w:hint="eastAsia" w:cs="Times New Roman"/>
          <w:sz w:val="20"/>
          <w:szCs w:val="22"/>
          <w:highlight w:val="none"/>
          <w:lang w:val="en-US" w:eastAsia="zh-CN"/>
        </w:rPr>
      </w:pPr>
      <w:r>
        <w:rPr>
          <w:rFonts w:hint="eastAsia" w:ascii="Times New Roman" w:hAnsi="Times New Roman" w:eastAsia="宋体" w:cs="Times New Roman"/>
          <w:b/>
          <w:bCs/>
          <w:sz w:val="20"/>
          <w:szCs w:val="22"/>
          <w:highlight w:val="none"/>
          <w:lang w:val="en-US" w:eastAsia="zh-CN"/>
        </w:rPr>
        <w:t xml:space="preserve">Proposal </w:t>
      </w:r>
      <w:r>
        <w:rPr>
          <w:rFonts w:hint="eastAsia" w:cs="Times New Roman"/>
          <w:b/>
          <w:bCs/>
          <w:sz w:val="20"/>
          <w:szCs w:val="22"/>
          <w:highlight w:val="none"/>
          <w:lang w:val="en-US" w:eastAsia="zh-CN"/>
        </w:rPr>
        <w:t>4</w:t>
      </w:r>
      <w:r>
        <w:rPr>
          <w:rFonts w:hint="eastAsia" w:ascii="Times New Roman" w:hAnsi="Times New Roman" w:eastAsia="宋体" w:cs="Times New Roman"/>
          <w:b/>
          <w:bCs/>
          <w:sz w:val="20"/>
          <w:szCs w:val="22"/>
          <w:highlight w:val="none"/>
          <w:lang w:val="en-US" w:eastAsia="zh-CN"/>
        </w:rPr>
        <w:t>:</w:t>
      </w:r>
      <w:r>
        <w:rPr>
          <w:rFonts w:hint="eastAsia" w:ascii="Times New Roman" w:hAnsi="Times New Roman" w:eastAsia="宋体" w:cs="Times New Roman"/>
          <w:sz w:val="20"/>
          <w:szCs w:val="22"/>
          <w:highlight w:val="none"/>
          <w:lang w:val="en-US" w:eastAsia="zh-CN"/>
        </w:rPr>
        <w:t xml:space="preserve"> </w:t>
      </w:r>
      <w:r>
        <w:rPr>
          <w:rFonts w:hint="eastAsia" w:cs="Times New Roman"/>
          <w:sz w:val="20"/>
          <w:szCs w:val="22"/>
          <w:highlight w:val="none"/>
          <w:lang w:val="en-US" w:eastAsia="zh-CN"/>
        </w:rPr>
        <w:t>if there is no operator inputs on the TDD pattern for FR2-2, then agree on the above TDD configuration for FR2-2.</w:t>
      </w:r>
    </w:p>
    <w:tbl>
      <w:tblPr>
        <w:tblStyle w:val="21"/>
        <w:tblW w:w="0" w:type="auto"/>
        <w:jc w:val="center"/>
        <w:tblLayout w:type="autofit"/>
        <w:tblCellMar>
          <w:top w:w="0" w:type="dxa"/>
          <w:left w:w="108" w:type="dxa"/>
          <w:bottom w:w="0" w:type="dxa"/>
          <w:right w:w="108" w:type="dxa"/>
        </w:tblCellMar>
      </w:tblPr>
      <w:tblGrid>
        <w:gridCol w:w="4157"/>
        <w:gridCol w:w="567"/>
        <w:gridCol w:w="567"/>
        <w:gridCol w:w="567"/>
        <w:gridCol w:w="567"/>
      </w:tblGrid>
      <w:tr>
        <w:tblPrEx>
          <w:tblCellMar>
            <w:top w:w="0" w:type="dxa"/>
            <w:left w:w="108" w:type="dxa"/>
            <w:bottom w:w="0" w:type="dxa"/>
            <w:right w:w="108" w:type="dxa"/>
          </w:tblCellMar>
        </w:tblPrEx>
        <w:trPr>
          <w:cantSplit/>
          <w:jc w:val="center"/>
        </w:trPr>
        <w:tc>
          <w:tcPr>
            <w:tcW w:w="0" w:type="auto"/>
          </w:tcPr>
          <w:p>
            <w:pPr>
              <w:pStyle w:val="32"/>
            </w:pPr>
            <w:r>
              <w:t>Field name</w:t>
            </w:r>
          </w:p>
        </w:tc>
        <w:tc>
          <w:tcPr>
            <w:tcW w:w="0" w:type="auto"/>
            <w:gridSpan w:val="4"/>
          </w:tcPr>
          <w:p>
            <w:pPr>
              <w:pStyle w:val="32"/>
              <w:rPr>
                <w:lang w:val="en-US"/>
              </w:rPr>
            </w:pPr>
            <w:r>
              <w:rPr>
                <w:lang w:val="en-US"/>
              </w:rPr>
              <w:t>Value</w:t>
            </w:r>
          </w:p>
        </w:tc>
      </w:tr>
      <w:tr>
        <w:tblPrEx>
          <w:tblCellMar>
            <w:top w:w="0" w:type="dxa"/>
            <w:left w:w="108" w:type="dxa"/>
            <w:bottom w:w="0" w:type="dxa"/>
            <w:right w:w="108" w:type="dxa"/>
          </w:tblCellMar>
        </w:tblPrEx>
        <w:trPr>
          <w:cantSplit/>
          <w:jc w:val="center"/>
        </w:trPr>
        <w:tc>
          <w:tcPr>
            <w:tcW w:w="0" w:type="auto"/>
          </w:tcPr>
          <w:p>
            <w:pPr>
              <w:pStyle w:val="33"/>
            </w:pPr>
            <w:r>
              <w:t xml:space="preserve">referenceSubcarrierSpacing </w:t>
            </w:r>
            <w:r>
              <w:rPr>
                <w:rFonts w:hint="eastAsia"/>
                <w:lang w:val="en-US"/>
              </w:rPr>
              <w:t>(kHz)</w:t>
            </w:r>
          </w:p>
        </w:tc>
        <w:tc>
          <w:tcPr>
            <w:tcW w:w="0" w:type="auto"/>
          </w:tcPr>
          <w:p>
            <w:pPr>
              <w:pStyle w:val="33"/>
            </w:pPr>
            <w:r>
              <w:rPr>
                <w:rFonts w:hint="eastAsia"/>
                <w:lang w:val="en-US"/>
              </w:rPr>
              <w:t>60</w:t>
            </w:r>
          </w:p>
        </w:tc>
        <w:tc>
          <w:tcPr>
            <w:tcW w:w="0" w:type="auto"/>
            <w:vAlign w:val="top"/>
          </w:tcPr>
          <w:p>
            <w:pPr>
              <w:pStyle w:val="33"/>
            </w:pPr>
            <w:r>
              <w:rPr>
                <w:rFonts w:hint="eastAsia"/>
                <w:lang w:val="en-US"/>
              </w:rPr>
              <w:t>120</w:t>
            </w:r>
          </w:p>
        </w:tc>
        <w:tc>
          <w:tcPr>
            <w:tcW w:w="0" w:type="auto"/>
          </w:tcPr>
          <w:p>
            <w:pPr>
              <w:pStyle w:val="33"/>
              <w:rPr>
                <w:rFonts w:hint="default"/>
                <w:lang w:val="en-US" w:eastAsia="zh-CN"/>
              </w:rPr>
            </w:pPr>
            <w:r>
              <w:rPr>
                <w:rFonts w:hint="eastAsia"/>
                <w:lang w:val="en-US" w:eastAsia="zh-CN"/>
              </w:rPr>
              <w:t>480</w:t>
            </w:r>
          </w:p>
        </w:tc>
        <w:tc>
          <w:tcPr>
            <w:tcW w:w="0" w:type="auto"/>
          </w:tcPr>
          <w:p>
            <w:pPr>
              <w:pStyle w:val="33"/>
              <w:rPr>
                <w:rFonts w:hint="default"/>
                <w:lang w:val="en-US" w:eastAsia="zh-CN"/>
              </w:rPr>
            </w:pPr>
            <w:r>
              <w:rPr>
                <w:rFonts w:hint="eastAsia"/>
                <w:lang w:val="en-US" w:eastAsia="zh-CN"/>
              </w:rPr>
              <w:t>960</w:t>
            </w:r>
          </w:p>
        </w:tc>
      </w:tr>
      <w:tr>
        <w:tblPrEx>
          <w:tblCellMar>
            <w:top w:w="0" w:type="dxa"/>
            <w:left w:w="108" w:type="dxa"/>
            <w:bottom w:w="0" w:type="dxa"/>
            <w:right w:w="108" w:type="dxa"/>
          </w:tblCellMar>
        </w:tblPrEx>
        <w:trPr>
          <w:cantSplit/>
          <w:jc w:val="center"/>
        </w:trPr>
        <w:tc>
          <w:tcPr>
            <w:tcW w:w="0" w:type="auto"/>
          </w:tcPr>
          <w:p>
            <w:pPr>
              <w:pStyle w:val="33"/>
            </w:pPr>
            <w:r>
              <w:t>Periodicity (ms) for dl-UL-TransmissionPeriodicity</w:t>
            </w:r>
          </w:p>
        </w:tc>
        <w:tc>
          <w:tcPr>
            <w:tcW w:w="0" w:type="auto"/>
          </w:tcPr>
          <w:p>
            <w:pPr>
              <w:pStyle w:val="33"/>
              <w:rPr>
                <w:lang w:val="en-US"/>
              </w:rPr>
            </w:pPr>
            <w:r>
              <w:rPr>
                <w:rFonts w:hint="eastAsia"/>
                <w:lang w:val="en-US"/>
              </w:rPr>
              <w:t>1.25</w:t>
            </w:r>
            <w:r>
              <w:rPr>
                <w:lang w:val="en-US"/>
              </w:rPr>
              <w:t xml:space="preserve"> </w:t>
            </w:r>
          </w:p>
        </w:tc>
        <w:tc>
          <w:tcPr>
            <w:tcW w:w="0" w:type="auto"/>
            <w:vAlign w:val="top"/>
          </w:tcPr>
          <w:p>
            <w:pPr>
              <w:pStyle w:val="33"/>
              <w:rPr>
                <w:lang w:val="en-US"/>
              </w:rPr>
            </w:pPr>
            <w:r>
              <w:rPr>
                <w:rFonts w:hint="eastAsia"/>
                <w:lang w:val="en-US"/>
              </w:rPr>
              <w:t>1.25</w:t>
            </w:r>
            <w:r>
              <w:rPr>
                <w:lang w:val="en-US"/>
              </w:rPr>
              <w:t xml:space="preserve"> </w:t>
            </w:r>
          </w:p>
        </w:tc>
        <w:tc>
          <w:tcPr>
            <w:tcW w:w="0" w:type="auto"/>
          </w:tcPr>
          <w:p>
            <w:pPr>
              <w:pStyle w:val="33"/>
              <w:rPr>
                <w:rFonts w:hint="default" w:eastAsia="宋体"/>
                <w:lang w:val="en-US" w:eastAsia="zh-CN"/>
              </w:rPr>
            </w:pPr>
            <w:r>
              <w:rPr>
                <w:rFonts w:hint="eastAsia" w:eastAsia="宋体"/>
                <w:lang w:val="en-US" w:eastAsia="zh-CN"/>
              </w:rPr>
              <w:t>1.25</w:t>
            </w:r>
          </w:p>
        </w:tc>
        <w:tc>
          <w:tcPr>
            <w:tcW w:w="0" w:type="auto"/>
          </w:tcPr>
          <w:p>
            <w:pPr>
              <w:pStyle w:val="33"/>
              <w:rPr>
                <w:rFonts w:hint="default" w:eastAsia="宋体"/>
                <w:lang w:val="en-US" w:eastAsia="zh-CN"/>
              </w:rPr>
            </w:pPr>
            <w:r>
              <w:rPr>
                <w:rFonts w:hint="eastAsia" w:eastAsia="宋体"/>
                <w:lang w:val="en-US" w:eastAsia="zh-CN"/>
              </w:rPr>
              <w:t>1.25</w:t>
            </w:r>
          </w:p>
        </w:tc>
      </w:tr>
      <w:tr>
        <w:tblPrEx>
          <w:tblCellMar>
            <w:top w:w="0" w:type="dxa"/>
            <w:left w:w="108" w:type="dxa"/>
            <w:bottom w:w="0" w:type="dxa"/>
            <w:right w:w="108" w:type="dxa"/>
          </w:tblCellMar>
        </w:tblPrEx>
        <w:trPr>
          <w:cantSplit/>
          <w:jc w:val="center"/>
        </w:trPr>
        <w:tc>
          <w:tcPr>
            <w:tcW w:w="0" w:type="auto"/>
          </w:tcPr>
          <w:p>
            <w:pPr>
              <w:pStyle w:val="33"/>
              <w:rPr>
                <w:highlight w:val="none"/>
              </w:rPr>
            </w:pPr>
            <w:r>
              <w:rPr>
                <w:highlight w:val="none"/>
              </w:rPr>
              <w:t>nrofDownlinkSlots</w:t>
            </w:r>
          </w:p>
        </w:tc>
        <w:tc>
          <w:tcPr>
            <w:tcW w:w="0" w:type="auto"/>
          </w:tcPr>
          <w:p>
            <w:pPr>
              <w:pStyle w:val="33"/>
              <w:rPr>
                <w:highlight w:val="none"/>
                <w:lang w:val="en-US"/>
              </w:rPr>
            </w:pPr>
            <w:r>
              <w:rPr>
                <w:rFonts w:hint="eastAsia"/>
                <w:highlight w:val="none"/>
                <w:lang w:val="en-US"/>
              </w:rPr>
              <w:t>3</w:t>
            </w:r>
          </w:p>
        </w:tc>
        <w:tc>
          <w:tcPr>
            <w:tcW w:w="0" w:type="auto"/>
            <w:vAlign w:val="top"/>
          </w:tcPr>
          <w:p>
            <w:pPr>
              <w:pStyle w:val="33"/>
              <w:rPr>
                <w:highlight w:val="none"/>
                <w:lang w:val="en-US"/>
              </w:rPr>
            </w:pPr>
            <w:r>
              <w:rPr>
                <w:rFonts w:hint="eastAsia"/>
                <w:highlight w:val="none"/>
                <w:lang w:val="en-US"/>
              </w:rPr>
              <w:t>7</w:t>
            </w:r>
          </w:p>
        </w:tc>
        <w:tc>
          <w:tcPr>
            <w:tcW w:w="0" w:type="auto"/>
          </w:tcPr>
          <w:p>
            <w:pPr>
              <w:pStyle w:val="33"/>
              <w:rPr>
                <w:rFonts w:hint="default" w:eastAsia="宋体"/>
                <w:highlight w:val="none"/>
                <w:lang w:val="en-US" w:eastAsia="zh-CN"/>
              </w:rPr>
            </w:pPr>
            <w:r>
              <w:rPr>
                <w:rFonts w:hint="eastAsia" w:eastAsia="宋体"/>
                <w:highlight w:val="none"/>
                <w:lang w:val="en-US" w:eastAsia="zh-CN"/>
              </w:rPr>
              <w:t>29</w:t>
            </w:r>
          </w:p>
        </w:tc>
        <w:tc>
          <w:tcPr>
            <w:tcW w:w="0" w:type="auto"/>
          </w:tcPr>
          <w:p>
            <w:pPr>
              <w:pStyle w:val="33"/>
              <w:rPr>
                <w:rFonts w:hint="default" w:eastAsia="宋体"/>
                <w:lang w:val="en-US" w:eastAsia="zh-CN"/>
              </w:rPr>
            </w:pPr>
            <w:r>
              <w:rPr>
                <w:rFonts w:hint="eastAsia" w:eastAsia="宋体"/>
                <w:lang w:val="en-US" w:eastAsia="zh-CN"/>
              </w:rPr>
              <w:t>59</w:t>
            </w:r>
          </w:p>
        </w:tc>
      </w:tr>
      <w:tr>
        <w:tblPrEx>
          <w:tblCellMar>
            <w:top w:w="0" w:type="dxa"/>
            <w:left w:w="108" w:type="dxa"/>
            <w:bottom w:w="0" w:type="dxa"/>
            <w:right w:w="108" w:type="dxa"/>
          </w:tblCellMar>
        </w:tblPrEx>
        <w:trPr>
          <w:cantSplit/>
          <w:jc w:val="center"/>
        </w:trPr>
        <w:tc>
          <w:tcPr>
            <w:tcW w:w="0" w:type="auto"/>
          </w:tcPr>
          <w:p>
            <w:pPr>
              <w:pStyle w:val="33"/>
            </w:pPr>
            <w:r>
              <w:t>nrofDownlinkSymbols</w:t>
            </w:r>
          </w:p>
        </w:tc>
        <w:tc>
          <w:tcPr>
            <w:tcW w:w="0" w:type="auto"/>
          </w:tcPr>
          <w:p>
            <w:pPr>
              <w:pStyle w:val="33"/>
              <w:rPr>
                <w:lang w:val="en-US"/>
              </w:rPr>
            </w:pPr>
            <w:r>
              <w:rPr>
                <w:rFonts w:hint="eastAsia"/>
                <w:lang w:val="en-US"/>
              </w:rPr>
              <w:t>10</w:t>
            </w:r>
          </w:p>
        </w:tc>
        <w:tc>
          <w:tcPr>
            <w:tcW w:w="0" w:type="auto"/>
            <w:vAlign w:val="top"/>
          </w:tcPr>
          <w:p>
            <w:pPr>
              <w:pStyle w:val="33"/>
              <w:rPr>
                <w:lang w:val="en-US"/>
              </w:rPr>
            </w:pPr>
            <w:r>
              <w:rPr>
                <w:rFonts w:hint="eastAsia"/>
                <w:lang w:val="en-US"/>
              </w:rPr>
              <w:t>6</w:t>
            </w:r>
          </w:p>
        </w:tc>
        <w:tc>
          <w:tcPr>
            <w:tcW w:w="0" w:type="auto"/>
          </w:tcPr>
          <w:p>
            <w:pPr>
              <w:pStyle w:val="33"/>
              <w:rPr>
                <w:rFonts w:hint="default" w:eastAsia="宋体"/>
                <w:lang w:val="en-US" w:eastAsia="zh-CN"/>
              </w:rPr>
            </w:pPr>
            <w:r>
              <w:rPr>
                <w:rFonts w:hint="eastAsia" w:eastAsia="宋体"/>
                <w:lang w:val="en-US" w:eastAsia="zh-CN"/>
              </w:rPr>
              <w:t>10</w:t>
            </w:r>
          </w:p>
        </w:tc>
        <w:tc>
          <w:tcPr>
            <w:tcW w:w="0" w:type="auto"/>
          </w:tcPr>
          <w:p>
            <w:pPr>
              <w:pStyle w:val="33"/>
              <w:rPr>
                <w:rFonts w:hint="default" w:eastAsia="宋体"/>
                <w:lang w:val="en-US" w:eastAsia="zh-CN"/>
              </w:rPr>
            </w:pPr>
            <w:r>
              <w:rPr>
                <w:rFonts w:hint="eastAsia" w:eastAsia="宋体"/>
                <w:lang w:val="en-US" w:eastAsia="zh-CN"/>
              </w:rPr>
              <w:t>6</w:t>
            </w:r>
          </w:p>
        </w:tc>
      </w:tr>
      <w:tr>
        <w:tblPrEx>
          <w:tblCellMar>
            <w:top w:w="0" w:type="dxa"/>
            <w:left w:w="108" w:type="dxa"/>
            <w:bottom w:w="0" w:type="dxa"/>
            <w:right w:w="108" w:type="dxa"/>
          </w:tblCellMar>
        </w:tblPrEx>
        <w:trPr>
          <w:cantSplit/>
          <w:jc w:val="center"/>
        </w:trPr>
        <w:tc>
          <w:tcPr>
            <w:tcW w:w="0" w:type="auto"/>
          </w:tcPr>
          <w:p>
            <w:pPr>
              <w:pStyle w:val="33"/>
              <w:rPr>
                <w:highlight w:val="none"/>
              </w:rPr>
            </w:pPr>
            <w:r>
              <w:rPr>
                <w:highlight w:val="none"/>
              </w:rPr>
              <w:t>nrofUplinkSlots</w:t>
            </w:r>
          </w:p>
        </w:tc>
        <w:tc>
          <w:tcPr>
            <w:tcW w:w="0" w:type="auto"/>
          </w:tcPr>
          <w:p>
            <w:pPr>
              <w:pStyle w:val="33"/>
              <w:rPr>
                <w:highlight w:val="none"/>
                <w:lang w:val="en-US"/>
              </w:rPr>
            </w:pPr>
            <w:r>
              <w:rPr>
                <w:rFonts w:hint="eastAsia"/>
                <w:highlight w:val="none"/>
                <w:lang w:val="en-US"/>
              </w:rPr>
              <w:t>1</w:t>
            </w:r>
          </w:p>
        </w:tc>
        <w:tc>
          <w:tcPr>
            <w:tcW w:w="0" w:type="auto"/>
            <w:vAlign w:val="top"/>
          </w:tcPr>
          <w:p>
            <w:pPr>
              <w:pStyle w:val="33"/>
              <w:rPr>
                <w:highlight w:val="none"/>
                <w:lang w:val="en-US"/>
              </w:rPr>
            </w:pPr>
            <w:r>
              <w:rPr>
                <w:rFonts w:hint="eastAsia"/>
                <w:highlight w:val="none"/>
                <w:lang w:val="en-US"/>
              </w:rPr>
              <w:t>2</w:t>
            </w:r>
          </w:p>
        </w:tc>
        <w:tc>
          <w:tcPr>
            <w:tcW w:w="0" w:type="auto"/>
          </w:tcPr>
          <w:p>
            <w:pPr>
              <w:pStyle w:val="33"/>
              <w:rPr>
                <w:rFonts w:hint="default" w:eastAsia="宋体"/>
                <w:highlight w:val="none"/>
                <w:lang w:val="en-US" w:eastAsia="zh-CN"/>
              </w:rPr>
            </w:pPr>
            <w:r>
              <w:rPr>
                <w:rFonts w:hint="eastAsia" w:eastAsia="宋体"/>
                <w:highlight w:val="none"/>
                <w:lang w:val="en-US" w:eastAsia="zh-CN"/>
              </w:rPr>
              <w:t>9</w:t>
            </w:r>
          </w:p>
        </w:tc>
        <w:tc>
          <w:tcPr>
            <w:tcW w:w="0" w:type="auto"/>
          </w:tcPr>
          <w:p>
            <w:pPr>
              <w:pStyle w:val="33"/>
              <w:rPr>
                <w:rFonts w:hint="default" w:eastAsia="宋体"/>
                <w:lang w:val="en-US" w:eastAsia="zh-CN"/>
              </w:rPr>
            </w:pPr>
            <w:r>
              <w:rPr>
                <w:rFonts w:hint="eastAsia" w:eastAsia="宋体"/>
                <w:lang w:val="en-US" w:eastAsia="zh-CN"/>
              </w:rPr>
              <w:t>18</w:t>
            </w:r>
          </w:p>
        </w:tc>
      </w:tr>
      <w:tr>
        <w:tblPrEx>
          <w:tblCellMar>
            <w:top w:w="0" w:type="dxa"/>
            <w:left w:w="108" w:type="dxa"/>
            <w:bottom w:w="0" w:type="dxa"/>
            <w:right w:w="108" w:type="dxa"/>
          </w:tblCellMar>
        </w:tblPrEx>
        <w:trPr>
          <w:cantSplit/>
          <w:jc w:val="center"/>
        </w:trPr>
        <w:tc>
          <w:tcPr>
            <w:tcW w:w="0" w:type="auto"/>
          </w:tcPr>
          <w:p>
            <w:pPr>
              <w:pStyle w:val="33"/>
            </w:pPr>
            <w:r>
              <w:t>nrofUplinkSymbols</w:t>
            </w:r>
          </w:p>
        </w:tc>
        <w:tc>
          <w:tcPr>
            <w:tcW w:w="0" w:type="auto"/>
          </w:tcPr>
          <w:p>
            <w:pPr>
              <w:pStyle w:val="33"/>
              <w:rPr>
                <w:lang w:val="en-US"/>
              </w:rPr>
            </w:pPr>
            <w:r>
              <w:rPr>
                <w:rFonts w:hint="eastAsia"/>
                <w:lang w:val="en-US"/>
              </w:rPr>
              <w:t>2</w:t>
            </w:r>
          </w:p>
        </w:tc>
        <w:tc>
          <w:tcPr>
            <w:tcW w:w="0" w:type="auto"/>
            <w:vAlign w:val="top"/>
          </w:tcPr>
          <w:p>
            <w:pPr>
              <w:pStyle w:val="33"/>
              <w:rPr>
                <w:lang w:val="en-US"/>
              </w:rPr>
            </w:pPr>
            <w:r>
              <w:rPr>
                <w:rFonts w:hint="eastAsia"/>
                <w:lang w:val="en-US"/>
              </w:rPr>
              <w:t>4</w:t>
            </w:r>
          </w:p>
        </w:tc>
        <w:tc>
          <w:tcPr>
            <w:tcW w:w="0" w:type="auto"/>
          </w:tcPr>
          <w:p>
            <w:pPr>
              <w:pStyle w:val="33"/>
              <w:rPr>
                <w:rFonts w:hint="default" w:eastAsia="宋体"/>
                <w:lang w:val="en-US" w:eastAsia="zh-CN"/>
              </w:rPr>
            </w:pPr>
            <w:r>
              <w:rPr>
                <w:rFonts w:hint="eastAsia" w:eastAsia="宋体"/>
                <w:lang w:val="en-US" w:eastAsia="zh-CN"/>
              </w:rPr>
              <w:t>2</w:t>
            </w:r>
          </w:p>
        </w:tc>
        <w:tc>
          <w:tcPr>
            <w:tcW w:w="0" w:type="auto"/>
          </w:tcPr>
          <w:p>
            <w:pPr>
              <w:pStyle w:val="33"/>
              <w:rPr>
                <w:rFonts w:hint="default" w:eastAsia="宋体"/>
                <w:lang w:val="en-US" w:eastAsia="zh-CN"/>
              </w:rPr>
            </w:pPr>
            <w:r>
              <w:rPr>
                <w:rFonts w:hint="eastAsia" w:eastAsia="宋体"/>
                <w:lang w:val="en-US" w:eastAsia="zh-CN"/>
              </w:rPr>
              <w:t>4</w:t>
            </w:r>
          </w:p>
        </w:tc>
      </w:tr>
    </w:tbl>
    <w:p>
      <w:pPr>
        <w:pBdr>
          <w:top w:val="none" w:color="auto" w:sz="0" w:space="0"/>
          <w:left w:val="none" w:color="auto" w:sz="0" w:space="0"/>
          <w:bottom w:val="none" w:color="000000" w:sz="0" w:space="0"/>
          <w:right w:val="none" w:color="auto" w:sz="0" w:space="0"/>
          <w:between w:val="none" w:color="auto" w:sz="0" w:space="0"/>
        </w:pBdr>
        <w:overflowPunct w:val="0"/>
        <w:autoSpaceDE w:val="0"/>
        <w:autoSpaceDN w:val="0"/>
        <w:adjustRightInd w:val="0"/>
        <w:jc w:val="both"/>
        <w:textAlignment w:val="baseline"/>
        <w:rPr>
          <w:rFonts w:hint="eastAsia" w:cs="Times New Roman"/>
          <w:sz w:val="20"/>
          <w:szCs w:val="22"/>
          <w:highlight w:val="none"/>
          <w:lang w:val="en-US" w:eastAsia="zh-CN"/>
        </w:rPr>
      </w:pPr>
    </w:p>
    <w:p>
      <w:pPr>
        <w:pBdr>
          <w:top w:val="none" w:color="auto" w:sz="0" w:space="0"/>
          <w:left w:val="none" w:color="auto" w:sz="0" w:space="0"/>
          <w:bottom w:val="none" w:color="000000" w:sz="0" w:space="0"/>
          <w:right w:val="none" w:color="auto" w:sz="0" w:space="0"/>
          <w:between w:val="none" w:color="auto" w:sz="0" w:space="0"/>
        </w:pBdr>
        <w:overflowPunct w:val="0"/>
        <w:autoSpaceDE w:val="0"/>
        <w:autoSpaceDN w:val="0"/>
        <w:adjustRightInd w:val="0"/>
        <w:jc w:val="both"/>
        <w:textAlignment w:val="baseline"/>
        <w:rPr>
          <w:rFonts w:hint="eastAsia"/>
          <w:lang w:val="en-US" w:eastAsia="zh-CN"/>
        </w:rPr>
      </w:pPr>
      <w:r>
        <w:rPr>
          <w:rFonts w:hint="eastAsia" w:ascii="Times New Roman" w:hAnsi="Times New Roman" w:eastAsia="宋体" w:cs="Times New Roman"/>
          <w:b/>
          <w:bCs/>
          <w:sz w:val="20"/>
          <w:szCs w:val="22"/>
          <w:highlight w:val="none"/>
          <w:lang w:val="en-US" w:eastAsia="zh-CN"/>
        </w:rPr>
        <w:t xml:space="preserve">Proposal </w:t>
      </w:r>
      <w:r>
        <w:rPr>
          <w:rFonts w:hint="eastAsia" w:cs="Times New Roman"/>
          <w:b/>
          <w:bCs/>
          <w:sz w:val="20"/>
          <w:szCs w:val="22"/>
          <w:highlight w:val="none"/>
          <w:lang w:val="en-US" w:eastAsia="zh-CN"/>
        </w:rPr>
        <w:t>5</w:t>
      </w:r>
      <w:r>
        <w:rPr>
          <w:rFonts w:hint="eastAsia" w:ascii="Times New Roman" w:hAnsi="Times New Roman" w:eastAsia="宋体" w:cs="Times New Roman"/>
          <w:b/>
          <w:bCs/>
          <w:sz w:val="20"/>
          <w:szCs w:val="22"/>
          <w:highlight w:val="none"/>
          <w:lang w:val="en-US" w:eastAsia="zh-CN"/>
        </w:rPr>
        <w:t>:</w:t>
      </w:r>
      <w:r>
        <w:rPr>
          <w:rFonts w:hint="eastAsia" w:ascii="Times New Roman" w:hAnsi="Times New Roman" w:eastAsia="宋体" w:cs="Times New Roman"/>
          <w:sz w:val="20"/>
          <w:szCs w:val="22"/>
          <w:highlight w:val="none"/>
          <w:lang w:val="en-US" w:eastAsia="zh-CN"/>
        </w:rPr>
        <w:t xml:space="preserve"> </w:t>
      </w:r>
      <w:r>
        <w:rPr>
          <w:rFonts w:hint="eastAsia" w:cs="Times New Roman"/>
          <w:sz w:val="20"/>
          <w:szCs w:val="22"/>
          <w:highlight w:val="none"/>
          <w:lang w:val="en-US" w:eastAsia="zh-CN"/>
        </w:rPr>
        <w:t xml:space="preserve">only NR-FR2-TM1.1, </w:t>
      </w:r>
      <w:r>
        <w:t>NR-</w:t>
      </w:r>
      <w:r>
        <w:rPr>
          <w:rFonts w:hint="eastAsia"/>
          <w:lang w:val="en-US" w:eastAsia="zh-CN"/>
        </w:rPr>
        <w:t>FR2-</w:t>
      </w:r>
      <w:r>
        <w:t>TM2</w:t>
      </w:r>
      <w:r>
        <w:rPr>
          <w:rFonts w:hint="eastAsia"/>
          <w:lang w:val="en-US" w:eastAsia="zh-CN"/>
        </w:rPr>
        <w:t xml:space="preserve"> and </w:t>
      </w:r>
      <w:r>
        <w:t>NR-FR2-TM3.1</w:t>
      </w:r>
      <w:r>
        <w:rPr>
          <w:rFonts w:hint="eastAsia"/>
          <w:lang w:val="en-US" w:eastAsia="zh-CN"/>
        </w:rPr>
        <w:t xml:space="preserve"> are applicable for FR2-2.</w:t>
      </w:r>
    </w:p>
    <w:p>
      <w:pPr>
        <w:pBdr>
          <w:top w:val="none" w:color="auto" w:sz="0" w:space="0"/>
          <w:left w:val="none" w:color="auto" w:sz="0" w:space="0"/>
          <w:bottom w:val="none" w:color="000000" w:sz="0" w:space="0"/>
          <w:right w:val="none" w:color="auto" w:sz="0" w:space="0"/>
          <w:between w:val="none" w:color="auto" w:sz="0" w:space="0"/>
        </w:pBdr>
        <w:overflowPunct w:val="0"/>
        <w:autoSpaceDE w:val="0"/>
        <w:autoSpaceDN w:val="0"/>
        <w:adjustRightInd w:val="0"/>
        <w:jc w:val="both"/>
        <w:textAlignment w:val="baseline"/>
        <w:rPr>
          <w:rFonts w:hint="eastAsia" w:cs="Times New Roman"/>
          <w:b w:val="0"/>
          <w:bCs w:val="0"/>
          <w:sz w:val="20"/>
          <w:szCs w:val="22"/>
          <w:highlight w:val="none"/>
          <w:lang w:val="en-US" w:eastAsia="zh-CN"/>
        </w:rPr>
      </w:pPr>
      <w:r>
        <w:rPr>
          <w:rFonts w:hint="eastAsia" w:cs="Times New Roman"/>
          <w:b/>
          <w:bCs/>
          <w:sz w:val="20"/>
          <w:szCs w:val="22"/>
          <w:highlight w:val="none"/>
          <w:lang w:val="en-US" w:eastAsia="zh-CN"/>
        </w:rPr>
        <w:t>Proposal 6:</w:t>
      </w:r>
      <w:r>
        <w:rPr>
          <w:rFonts w:hint="eastAsia" w:cs="Times New Roman"/>
          <w:b w:val="0"/>
          <w:bCs w:val="0"/>
          <w:sz w:val="20"/>
          <w:szCs w:val="22"/>
          <w:highlight w:val="none"/>
          <w:lang w:val="en-US" w:eastAsia="zh-CN"/>
        </w:rPr>
        <w:t xml:space="preserve"> the existing measurement setup framework in TS 38.141-2 Annex D and Annex E could also been applicable for FR2-2.</w:t>
      </w:r>
    </w:p>
    <w:p>
      <w:pPr>
        <w:pBdr>
          <w:top w:val="none" w:color="auto" w:sz="0" w:space="0"/>
          <w:left w:val="none" w:color="auto" w:sz="0" w:space="0"/>
          <w:bottom w:val="none" w:color="000000" w:sz="0" w:space="0"/>
          <w:right w:val="none" w:color="auto" w:sz="0" w:space="0"/>
          <w:between w:val="none" w:color="auto" w:sz="0" w:space="0"/>
        </w:pBdr>
        <w:overflowPunct w:val="0"/>
        <w:autoSpaceDE w:val="0"/>
        <w:autoSpaceDN w:val="0"/>
        <w:adjustRightInd w:val="0"/>
        <w:jc w:val="both"/>
        <w:textAlignment w:val="baseline"/>
        <w:rPr>
          <w:rFonts w:hint="default" w:cs="Times New Roman"/>
          <w:b w:val="0"/>
          <w:bCs w:val="0"/>
          <w:sz w:val="20"/>
          <w:szCs w:val="22"/>
          <w:highlight w:val="none"/>
          <w:lang w:val="en-US" w:eastAsia="zh-CN"/>
        </w:rPr>
      </w:pPr>
      <w:r>
        <w:rPr>
          <w:rFonts w:hint="eastAsia" w:cs="Times New Roman"/>
          <w:b/>
          <w:bCs/>
          <w:sz w:val="20"/>
          <w:szCs w:val="22"/>
          <w:highlight w:val="none"/>
          <w:lang w:val="en-US" w:eastAsia="zh-CN"/>
        </w:rPr>
        <w:t>Proposal 7:</w:t>
      </w:r>
      <w:r>
        <w:rPr>
          <w:rFonts w:hint="eastAsia" w:cs="Times New Roman"/>
          <w:b w:val="0"/>
          <w:bCs w:val="0"/>
          <w:sz w:val="20"/>
          <w:szCs w:val="22"/>
          <w:highlight w:val="none"/>
          <w:lang w:val="en-US" w:eastAsia="zh-CN"/>
        </w:rPr>
        <w:t xml:space="preserve"> to further discuss the feasibility of measurement of the upper limit of spurious emission requirements of FR2-2.</w:t>
      </w:r>
    </w:p>
    <w:p>
      <w:pPr>
        <w:pStyle w:val="53"/>
        <w:tabs>
          <w:tab w:val="left" w:pos="567"/>
          <w:tab w:val="clear" w:pos="1985"/>
        </w:tabs>
        <w:adjustRightInd w:val="0"/>
        <w:ind w:left="510" w:hanging="510"/>
      </w:pPr>
      <w:r>
        <w:t>References</w:t>
      </w:r>
    </w:p>
    <w:p>
      <w:pPr>
        <w:pStyle w:val="51"/>
        <w:numPr>
          <w:ilvl w:val="0"/>
          <w:numId w:val="2"/>
        </w:numPr>
        <w:rPr>
          <w:rFonts w:hint="default" w:ascii="Times New Roman" w:hAnsi="Times New Roman" w:cs="Times New Roman"/>
          <w:sz w:val="20"/>
          <w:szCs w:val="20"/>
        </w:rPr>
      </w:pPr>
      <w:r>
        <w:rPr>
          <w:rFonts w:hint="eastAsia" w:cs="Times New Roman"/>
          <w:sz w:val="20"/>
          <w:szCs w:val="20"/>
          <w:lang w:val="en-US" w:eastAsia="zh-CN"/>
        </w:rPr>
        <w:t>TS 38.104 17.5.0</w:t>
      </w:r>
    </w:p>
    <w:p>
      <w:pPr>
        <w:pStyle w:val="51"/>
        <w:numPr>
          <w:ilvl w:val="0"/>
          <w:numId w:val="2"/>
        </w:numPr>
        <w:rPr>
          <w:rFonts w:hint="default" w:ascii="Times New Roman" w:hAnsi="Times New Roman" w:cs="Times New Roman"/>
          <w:sz w:val="20"/>
          <w:szCs w:val="20"/>
        </w:rPr>
      </w:pPr>
      <w:r>
        <w:rPr>
          <w:rFonts w:hint="eastAsia" w:cs="Times New Roman"/>
          <w:sz w:val="20"/>
          <w:szCs w:val="20"/>
          <w:lang w:val="en-US" w:eastAsia="zh-CN"/>
        </w:rPr>
        <w:t>TS 38.141-2 17.5.0</w:t>
      </w:r>
    </w:p>
    <w:p>
      <w:pPr>
        <w:pStyle w:val="51"/>
        <w:numPr>
          <w:ilvl w:val="0"/>
          <w:numId w:val="2"/>
        </w:numPr>
        <w:rPr>
          <w:rFonts w:hint="default" w:ascii="Times New Roman" w:hAnsi="Times New Roman" w:cs="Times New Roman"/>
          <w:sz w:val="20"/>
          <w:szCs w:val="20"/>
        </w:rPr>
      </w:pPr>
      <w:r>
        <w:rPr>
          <w:rFonts w:hint="default" w:ascii="Times New Roman" w:hAnsi="Times New Roman" w:cs="Times New Roman"/>
          <w:sz w:val="20"/>
          <w:szCs w:val="20"/>
        </w:rPr>
        <w:t>RP-220535</w:t>
      </w:r>
      <w:r>
        <w:rPr>
          <w:rFonts w:hint="eastAsia" w:cs="Times New Roman"/>
          <w:sz w:val="20"/>
          <w:szCs w:val="20"/>
          <w:lang w:val="en-US" w:eastAsia="zh-CN"/>
        </w:rPr>
        <w:t>,</w:t>
      </w:r>
    </w:p>
    <w:p>
      <w:pPr>
        <w:pStyle w:val="51"/>
        <w:numPr>
          <w:ilvl w:val="0"/>
          <w:numId w:val="0"/>
        </w:numPr>
        <w:ind w:leftChars="0"/>
        <w:rPr>
          <w:rFonts w:hint="default" w:eastAsia="宋体" w:cs="Times New Roman"/>
          <w:b w:val="0"/>
          <w:i w:val="0"/>
          <w:color w:val="000000"/>
          <w:spacing w:val="0"/>
          <w:sz w:val="18"/>
          <w:szCs w:val="18"/>
          <w:shd w:val="clear" w:fill="FFFFFF"/>
          <w:lang w:val="en-US" w:eastAsia="zh-CN"/>
        </w:rPr>
      </w:pPr>
    </w:p>
    <w:sectPr>
      <w:headerReference r:id="rId3" w:type="default"/>
      <w:pgSz w:w="11906" w:h="16838"/>
      <w:pgMar w:top="144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0000012" w:usb3="00000000" w:csb0="4002009F" w:csb1="DFD7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4008009F" w:csb1="DFD70000"/>
  </w:font>
  <w:font w:name="v4.2.0">
    <w:altName w:val="Times New Roman"/>
    <w:panose1 w:val="00000000000000000000"/>
    <w:charset w:val="00"/>
    <w:family w:val="auto"/>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FAE1895"/>
    <w:multiLevelType w:val="singleLevel"/>
    <w:tmpl w:val="DFAE1895"/>
    <w:lvl w:ilvl="0" w:tentative="0">
      <w:start w:val="1"/>
      <w:numFmt w:val="decimal"/>
      <w:suff w:val="space"/>
      <w:lvlText w:val="[%1]"/>
      <w:lvlJc w:val="left"/>
    </w:lvl>
  </w:abstractNum>
  <w:abstractNum w:abstractNumId="1">
    <w:nsid w:val="5D177F5E"/>
    <w:multiLevelType w:val="multilevel"/>
    <w:tmpl w:val="5D177F5E"/>
    <w:lvl w:ilvl="0" w:tentative="0">
      <w:start w:val="1"/>
      <w:numFmt w:val="decimal"/>
      <w:pStyle w:val="53"/>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3"/>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AE7"/>
    <w:rsid w:val="000B72BF"/>
    <w:rsid w:val="000B7311"/>
    <w:rsid w:val="000B7438"/>
    <w:rsid w:val="000B7B5F"/>
    <w:rsid w:val="000B7B66"/>
    <w:rsid w:val="000B7B87"/>
    <w:rsid w:val="000B7EFE"/>
    <w:rsid w:val="000C0365"/>
    <w:rsid w:val="000C03F3"/>
    <w:rsid w:val="000C059D"/>
    <w:rsid w:val="000C0A61"/>
    <w:rsid w:val="000C0EC8"/>
    <w:rsid w:val="000C18EF"/>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D2F"/>
    <w:rsid w:val="000F4F55"/>
    <w:rsid w:val="000F4F99"/>
    <w:rsid w:val="000F539D"/>
    <w:rsid w:val="000F639D"/>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753B"/>
    <w:rsid w:val="001575DF"/>
    <w:rsid w:val="00157925"/>
    <w:rsid w:val="0016008A"/>
    <w:rsid w:val="0016040F"/>
    <w:rsid w:val="0016125B"/>
    <w:rsid w:val="00161BB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501"/>
    <w:rsid w:val="001D7957"/>
    <w:rsid w:val="001E0330"/>
    <w:rsid w:val="001E0418"/>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09D"/>
    <w:rsid w:val="0025518A"/>
    <w:rsid w:val="002552FD"/>
    <w:rsid w:val="00255F87"/>
    <w:rsid w:val="002561FC"/>
    <w:rsid w:val="00256347"/>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ABE"/>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780"/>
    <w:rsid w:val="006B1DA7"/>
    <w:rsid w:val="006B1DF7"/>
    <w:rsid w:val="006B1E72"/>
    <w:rsid w:val="006B1ED5"/>
    <w:rsid w:val="006B204C"/>
    <w:rsid w:val="006B2251"/>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DE"/>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10D1"/>
    <w:rsid w:val="00821386"/>
    <w:rsid w:val="00821A56"/>
    <w:rsid w:val="00821AF5"/>
    <w:rsid w:val="00821F38"/>
    <w:rsid w:val="0082224E"/>
    <w:rsid w:val="008228F2"/>
    <w:rsid w:val="00822E4E"/>
    <w:rsid w:val="008231E0"/>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9CC"/>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A88"/>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783"/>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51"/>
    <w:rsid w:val="00B93087"/>
    <w:rsid w:val="00B931F2"/>
    <w:rsid w:val="00B93511"/>
    <w:rsid w:val="00B93B26"/>
    <w:rsid w:val="00B93C7D"/>
    <w:rsid w:val="00B944DE"/>
    <w:rsid w:val="00B950B9"/>
    <w:rsid w:val="00B9552F"/>
    <w:rsid w:val="00B956A3"/>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9AF"/>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2B8"/>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418"/>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3EB"/>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2543E"/>
    <w:rsid w:val="01033A02"/>
    <w:rsid w:val="01133912"/>
    <w:rsid w:val="011B7946"/>
    <w:rsid w:val="01380C1C"/>
    <w:rsid w:val="01442D89"/>
    <w:rsid w:val="01594895"/>
    <w:rsid w:val="015C06BF"/>
    <w:rsid w:val="016800B9"/>
    <w:rsid w:val="0176074D"/>
    <w:rsid w:val="01791D2E"/>
    <w:rsid w:val="01821D8F"/>
    <w:rsid w:val="018C2266"/>
    <w:rsid w:val="0195201D"/>
    <w:rsid w:val="019C3DA8"/>
    <w:rsid w:val="01A402CD"/>
    <w:rsid w:val="01A742A2"/>
    <w:rsid w:val="01BE34DB"/>
    <w:rsid w:val="01BE6ACE"/>
    <w:rsid w:val="01C027D4"/>
    <w:rsid w:val="01C32135"/>
    <w:rsid w:val="01CB7A2C"/>
    <w:rsid w:val="01D518FC"/>
    <w:rsid w:val="01D75795"/>
    <w:rsid w:val="01E1598F"/>
    <w:rsid w:val="01F33D9D"/>
    <w:rsid w:val="01F60577"/>
    <w:rsid w:val="020F4070"/>
    <w:rsid w:val="021042F2"/>
    <w:rsid w:val="021A09F9"/>
    <w:rsid w:val="021D2604"/>
    <w:rsid w:val="022252C9"/>
    <w:rsid w:val="02293A2A"/>
    <w:rsid w:val="022F66E0"/>
    <w:rsid w:val="0238292F"/>
    <w:rsid w:val="024A52C1"/>
    <w:rsid w:val="024C13AB"/>
    <w:rsid w:val="02720F3D"/>
    <w:rsid w:val="02744265"/>
    <w:rsid w:val="028748E0"/>
    <w:rsid w:val="02892A7A"/>
    <w:rsid w:val="02903BA1"/>
    <w:rsid w:val="029342BD"/>
    <w:rsid w:val="02984AE1"/>
    <w:rsid w:val="02B06DC0"/>
    <w:rsid w:val="02B31189"/>
    <w:rsid w:val="02C86D51"/>
    <w:rsid w:val="02CE3DD2"/>
    <w:rsid w:val="02DC6BBC"/>
    <w:rsid w:val="02E3271D"/>
    <w:rsid w:val="02E929C0"/>
    <w:rsid w:val="02EB5A8E"/>
    <w:rsid w:val="02F573DC"/>
    <w:rsid w:val="02F95CD1"/>
    <w:rsid w:val="030150CB"/>
    <w:rsid w:val="030A537D"/>
    <w:rsid w:val="03186045"/>
    <w:rsid w:val="031E0FAC"/>
    <w:rsid w:val="031E4C95"/>
    <w:rsid w:val="032E4DBB"/>
    <w:rsid w:val="03332CAE"/>
    <w:rsid w:val="03343BC7"/>
    <w:rsid w:val="033D4705"/>
    <w:rsid w:val="033F52A3"/>
    <w:rsid w:val="03402EB3"/>
    <w:rsid w:val="0354325C"/>
    <w:rsid w:val="035C4C68"/>
    <w:rsid w:val="03651217"/>
    <w:rsid w:val="03687ADD"/>
    <w:rsid w:val="036A231E"/>
    <w:rsid w:val="03774924"/>
    <w:rsid w:val="03822F79"/>
    <w:rsid w:val="03847C78"/>
    <w:rsid w:val="038E10F4"/>
    <w:rsid w:val="03970904"/>
    <w:rsid w:val="039B69FD"/>
    <w:rsid w:val="03A32E58"/>
    <w:rsid w:val="03A679B2"/>
    <w:rsid w:val="03C0647A"/>
    <w:rsid w:val="03D17DD6"/>
    <w:rsid w:val="03D4427A"/>
    <w:rsid w:val="03E76518"/>
    <w:rsid w:val="03F54B29"/>
    <w:rsid w:val="03FF3D36"/>
    <w:rsid w:val="041875C1"/>
    <w:rsid w:val="04252816"/>
    <w:rsid w:val="04376B0F"/>
    <w:rsid w:val="0444783F"/>
    <w:rsid w:val="044753DC"/>
    <w:rsid w:val="045E1DEE"/>
    <w:rsid w:val="04786ED3"/>
    <w:rsid w:val="04830CB4"/>
    <w:rsid w:val="048829D4"/>
    <w:rsid w:val="049A1458"/>
    <w:rsid w:val="04F14C06"/>
    <w:rsid w:val="051034CD"/>
    <w:rsid w:val="051F43BC"/>
    <w:rsid w:val="053E1AC2"/>
    <w:rsid w:val="05582A3B"/>
    <w:rsid w:val="05583DC1"/>
    <w:rsid w:val="05816D10"/>
    <w:rsid w:val="05930F73"/>
    <w:rsid w:val="05940F3F"/>
    <w:rsid w:val="05AB5DF1"/>
    <w:rsid w:val="05B173DC"/>
    <w:rsid w:val="05B27D07"/>
    <w:rsid w:val="05B60E23"/>
    <w:rsid w:val="05B658ED"/>
    <w:rsid w:val="05BE42A5"/>
    <w:rsid w:val="05D16BC6"/>
    <w:rsid w:val="05DF678C"/>
    <w:rsid w:val="05EE3B4E"/>
    <w:rsid w:val="05F007AC"/>
    <w:rsid w:val="060D249E"/>
    <w:rsid w:val="06111076"/>
    <w:rsid w:val="062B4014"/>
    <w:rsid w:val="062D742E"/>
    <w:rsid w:val="062F53D1"/>
    <w:rsid w:val="063463FB"/>
    <w:rsid w:val="06474EFD"/>
    <w:rsid w:val="06493A8C"/>
    <w:rsid w:val="064A35EA"/>
    <w:rsid w:val="064B521E"/>
    <w:rsid w:val="064C2727"/>
    <w:rsid w:val="065740AF"/>
    <w:rsid w:val="067570AB"/>
    <w:rsid w:val="067D28AB"/>
    <w:rsid w:val="06836FEC"/>
    <w:rsid w:val="068523FB"/>
    <w:rsid w:val="068C6317"/>
    <w:rsid w:val="06A25CB8"/>
    <w:rsid w:val="06A32A23"/>
    <w:rsid w:val="06A55EB9"/>
    <w:rsid w:val="06A767E8"/>
    <w:rsid w:val="06AE0568"/>
    <w:rsid w:val="06B548E2"/>
    <w:rsid w:val="06B74119"/>
    <w:rsid w:val="06BA7F49"/>
    <w:rsid w:val="06BB4F9D"/>
    <w:rsid w:val="06C72EBF"/>
    <w:rsid w:val="06F30672"/>
    <w:rsid w:val="06F35A7A"/>
    <w:rsid w:val="06F35AB6"/>
    <w:rsid w:val="06F66B05"/>
    <w:rsid w:val="0708086F"/>
    <w:rsid w:val="072B7E46"/>
    <w:rsid w:val="072F2139"/>
    <w:rsid w:val="07436058"/>
    <w:rsid w:val="074E566F"/>
    <w:rsid w:val="074F3DF9"/>
    <w:rsid w:val="07537C92"/>
    <w:rsid w:val="07563C87"/>
    <w:rsid w:val="075670A4"/>
    <w:rsid w:val="075E667A"/>
    <w:rsid w:val="07660D5A"/>
    <w:rsid w:val="076F4BA4"/>
    <w:rsid w:val="077F542D"/>
    <w:rsid w:val="077F5D16"/>
    <w:rsid w:val="07817B19"/>
    <w:rsid w:val="07897865"/>
    <w:rsid w:val="07916BE4"/>
    <w:rsid w:val="07A2728D"/>
    <w:rsid w:val="07AA3E51"/>
    <w:rsid w:val="07C752E9"/>
    <w:rsid w:val="07D835FB"/>
    <w:rsid w:val="07DD018B"/>
    <w:rsid w:val="07E014BE"/>
    <w:rsid w:val="07E85751"/>
    <w:rsid w:val="0800676F"/>
    <w:rsid w:val="08073429"/>
    <w:rsid w:val="08171593"/>
    <w:rsid w:val="0835476E"/>
    <w:rsid w:val="08367FC2"/>
    <w:rsid w:val="084E0029"/>
    <w:rsid w:val="085D6C7E"/>
    <w:rsid w:val="08611CAF"/>
    <w:rsid w:val="0865781A"/>
    <w:rsid w:val="0866133E"/>
    <w:rsid w:val="086A2432"/>
    <w:rsid w:val="087E046C"/>
    <w:rsid w:val="08813C88"/>
    <w:rsid w:val="08942BDF"/>
    <w:rsid w:val="089852F1"/>
    <w:rsid w:val="08990610"/>
    <w:rsid w:val="089D6B7D"/>
    <w:rsid w:val="08B21918"/>
    <w:rsid w:val="08B40442"/>
    <w:rsid w:val="08B94847"/>
    <w:rsid w:val="08C14001"/>
    <w:rsid w:val="08CB789F"/>
    <w:rsid w:val="08F3057E"/>
    <w:rsid w:val="09016732"/>
    <w:rsid w:val="090A40A2"/>
    <w:rsid w:val="09124107"/>
    <w:rsid w:val="09127CF4"/>
    <w:rsid w:val="09183213"/>
    <w:rsid w:val="091D66D7"/>
    <w:rsid w:val="092234B5"/>
    <w:rsid w:val="092C26C9"/>
    <w:rsid w:val="0953050B"/>
    <w:rsid w:val="09546457"/>
    <w:rsid w:val="09582472"/>
    <w:rsid w:val="096308E4"/>
    <w:rsid w:val="096913F9"/>
    <w:rsid w:val="096B649C"/>
    <w:rsid w:val="096F1D52"/>
    <w:rsid w:val="09713F26"/>
    <w:rsid w:val="09796C44"/>
    <w:rsid w:val="098344BC"/>
    <w:rsid w:val="098A1B59"/>
    <w:rsid w:val="099A5797"/>
    <w:rsid w:val="099D22A1"/>
    <w:rsid w:val="09A64698"/>
    <w:rsid w:val="09AC5074"/>
    <w:rsid w:val="09AD07F3"/>
    <w:rsid w:val="09B14A34"/>
    <w:rsid w:val="09E14486"/>
    <w:rsid w:val="09E26945"/>
    <w:rsid w:val="09F3690C"/>
    <w:rsid w:val="0A093274"/>
    <w:rsid w:val="0A145E2C"/>
    <w:rsid w:val="0A223227"/>
    <w:rsid w:val="0A22459E"/>
    <w:rsid w:val="0A2705E1"/>
    <w:rsid w:val="0A2A6A0B"/>
    <w:rsid w:val="0A312533"/>
    <w:rsid w:val="0A387E94"/>
    <w:rsid w:val="0A3A0D5D"/>
    <w:rsid w:val="0A5056C6"/>
    <w:rsid w:val="0A5060D6"/>
    <w:rsid w:val="0A5F4C2E"/>
    <w:rsid w:val="0A632D14"/>
    <w:rsid w:val="0A7200B0"/>
    <w:rsid w:val="0A771CA5"/>
    <w:rsid w:val="0A792AB1"/>
    <w:rsid w:val="0A8046F0"/>
    <w:rsid w:val="0A843B9D"/>
    <w:rsid w:val="0A8621F2"/>
    <w:rsid w:val="0A8C711B"/>
    <w:rsid w:val="0A8F1F9F"/>
    <w:rsid w:val="0A9B6BF5"/>
    <w:rsid w:val="0AB137B2"/>
    <w:rsid w:val="0AB329A9"/>
    <w:rsid w:val="0ABA55D8"/>
    <w:rsid w:val="0ACD4245"/>
    <w:rsid w:val="0AD226BA"/>
    <w:rsid w:val="0AD57FD6"/>
    <w:rsid w:val="0ADD7B55"/>
    <w:rsid w:val="0B032D87"/>
    <w:rsid w:val="0B0B48A1"/>
    <w:rsid w:val="0B110AC0"/>
    <w:rsid w:val="0B1157EF"/>
    <w:rsid w:val="0B1765E0"/>
    <w:rsid w:val="0B1C0720"/>
    <w:rsid w:val="0B1C1D7C"/>
    <w:rsid w:val="0B22066E"/>
    <w:rsid w:val="0B2643BE"/>
    <w:rsid w:val="0B3D30DE"/>
    <w:rsid w:val="0B3F2432"/>
    <w:rsid w:val="0B4A1037"/>
    <w:rsid w:val="0B4D5218"/>
    <w:rsid w:val="0B5461B0"/>
    <w:rsid w:val="0B622E13"/>
    <w:rsid w:val="0B717521"/>
    <w:rsid w:val="0B725D3E"/>
    <w:rsid w:val="0B7E0C53"/>
    <w:rsid w:val="0B884E90"/>
    <w:rsid w:val="0B892782"/>
    <w:rsid w:val="0BB06F21"/>
    <w:rsid w:val="0BB2460A"/>
    <w:rsid w:val="0BB30DE5"/>
    <w:rsid w:val="0BB41CFB"/>
    <w:rsid w:val="0BB53F3C"/>
    <w:rsid w:val="0BC739F0"/>
    <w:rsid w:val="0BDB5584"/>
    <w:rsid w:val="0BE17727"/>
    <w:rsid w:val="0BF427F9"/>
    <w:rsid w:val="0C0C632D"/>
    <w:rsid w:val="0C106EFB"/>
    <w:rsid w:val="0C120111"/>
    <w:rsid w:val="0C37145B"/>
    <w:rsid w:val="0C3C0AB0"/>
    <w:rsid w:val="0C6038EF"/>
    <w:rsid w:val="0C654C73"/>
    <w:rsid w:val="0C751214"/>
    <w:rsid w:val="0C780533"/>
    <w:rsid w:val="0C85742B"/>
    <w:rsid w:val="0C873353"/>
    <w:rsid w:val="0C8B4B61"/>
    <w:rsid w:val="0C9A4387"/>
    <w:rsid w:val="0C9D3F03"/>
    <w:rsid w:val="0CA92BAC"/>
    <w:rsid w:val="0CB471A1"/>
    <w:rsid w:val="0CB572D7"/>
    <w:rsid w:val="0CB90F2E"/>
    <w:rsid w:val="0CC841F0"/>
    <w:rsid w:val="0CE75BD1"/>
    <w:rsid w:val="0D0213CD"/>
    <w:rsid w:val="0D04575D"/>
    <w:rsid w:val="0D0612B8"/>
    <w:rsid w:val="0D066A9C"/>
    <w:rsid w:val="0D0714BC"/>
    <w:rsid w:val="0D1A52C8"/>
    <w:rsid w:val="0D2767B5"/>
    <w:rsid w:val="0D346E85"/>
    <w:rsid w:val="0D3E327E"/>
    <w:rsid w:val="0D5800C7"/>
    <w:rsid w:val="0D59116F"/>
    <w:rsid w:val="0D6A353C"/>
    <w:rsid w:val="0D904522"/>
    <w:rsid w:val="0D976014"/>
    <w:rsid w:val="0D9D4469"/>
    <w:rsid w:val="0DA060E8"/>
    <w:rsid w:val="0DCE36F3"/>
    <w:rsid w:val="0DD621E4"/>
    <w:rsid w:val="0DDD38BD"/>
    <w:rsid w:val="0DDE1317"/>
    <w:rsid w:val="0DF42D2C"/>
    <w:rsid w:val="0DFF0C8E"/>
    <w:rsid w:val="0E0313B1"/>
    <w:rsid w:val="0E0D1A47"/>
    <w:rsid w:val="0E1D14EE"/>
    <w:rsid w:val="0E2B6C7E"/>
    <w:rsid w:val="0E3217E8"/>
    <w:rsid w:val="0E3362F6"/>
    <w:rsid w:val="0E387AA5"/>
    <w:rsid w:val="0E400D03"/>
    <w:rsid w:val="0E5E2B07"/>
    <w:rsid w:val="0E76455D"/>
    <w:rsid w:val="0E771E51"/>
    <w:rsid w:val="0E7A2A61"/>
    <w:rsid w:val="0E8118C0"/>
    <w:rsid w:val="0E9A17E3"/>
    <w:rsid w:val="0EA11114"/>
    <w:rsid w:val="0EA35AC0"/>
    <w:rsid w:val="0EB34961"/>
    <w:rsid w:val="0EB9447E"/>
    <w:rsid w:val="0EC468A2"/>
    <w:rsid w:val="0ECC4066"/>
    <w:rsid w:val="0ECE7C5F"/>
    <w:rsid w:val="0EEE5704"/>
    <w:rsid w:val="0EF75D05"/>
    <w:rsid w:val="0EFE2ACB"/>
    <w:rsid w:val="0F0D240A"/>
    <w:rsid w:val="0F12247A"/>
    <w:rsid w:val="0F180ED7"/>
    <w:rsid w:val="0F1D0ECD"/>
    <w:rsid w:val="0F2D68C6"/>
    <w:rsid w:val="0F2E712D"/>
    <w:rsid w:val="0F364BC2"/>
    <w:rsid w:val="0F3A630E"/>
    <w:rsid w:val="0F3B1C05"/>
    <w:rsid w:val="0F455F85"/>
    <w:rsid w:val="0F49564D"/>
    <w:rsid w:val="0F4D1918"/>
    <w:rsid w:val="0F5075AE"/>
    <w:rsid w:val="0F521719"/>
    <w:rsid w:val="0F584757"/>
    <w:rsid w:val="0F616A74"/>
    <w:rsid w:val="0F7C4621"/>
    <w:rsid w:val="0F7E4DAF"/>
    <w:rsid w:val="0F80243B"/>
    <w:rsid w:val="0F865FC6"/>
    <w:rsid w:val="0FA26E81"/>
    <w:rsid w:val="0FAB4957"/>
    <w:rsid w:val="0FAD0019"/>
    <w:rsid w:val="0FAD3299"/>
    <w:rsid w:val="0FB261C9"/>
    <w:rsid w:val="0FB31343"/>
    <w:rsid w:val="0FC12836"/>
    <w:rsid w:val="0FD95333"/>
    <w:rsid w:val="0FE240B8"/>
    <w:rsid w:val="0FEC6EF6"/>
    <w:rsid w:val="0FEE1285"/>
    <w:rsid w:val="10045EE6"/>
    <w:rsid w:val="10255FAA"/>
    <w:rsid w:val="1035409F"/>
    <w:rsid w:val="1037078D"/>
    <w:rsid w:val="103A7991"/>
    <w:rsid w:val="10413A4E"/>
    <w:rsid w:val="10462479"/>
    <w:rsid w:val="104B2D15"/>
    <w:rsid w:val="10674DB0"/>
    <w:rsid w:val="106D678B"/>
    <w:rsid w:val="107374A2"/>
    <w:rsid w:val="10744F94"/>
    <w:rsid w:val="10746083"/>
    <w:rsid w:val="10802320"/>
    <w:rsid w:val="10836F99"/>
    <w:rsid w:val="10886883"/>
    <w:rsid w:val="108A2129"/>
    <w:rsid w:val="10924B2D"/>
    <w:rsid w:val="10953B42"/>
    <w:rsid w:val="10B7486E"/>
    <w:rsid w:val="10CC5735"/>
    <w:rsid w:val="10DF2F3A"/>
    <w:rsid w:val="10FA45D2"/>
    <w:rsid w:val="11024527"/>
    <w:rsid w:val="110A4489"/>
    <w:rsid w:val="11150F62"/>
    <w:rsid w:val="11193C2A"/>
    <w:rsid w:val="111A28E5"/>
    <w:rsid w:val="112F54D2"/>
    <w:rsid w:val="1133321C"/>
    <w:rsid w:val="11461F96"/>
    <w:rsid w:val="114A56D6"/>
    <w:rsid w:val="114B6AE8"/>
    <w:rsid w:val="114B6C92"/>
    <w:rsid w:val="114C09AA"/>
    <w:rsid w:val="114C3CA8"/>
    <w:rsid w:val="114D3A1D"/>
    <w:rsid w:val="11576536"/>
    <w:rsid w:val="11607F73"/>
    <w:rsid w:val="117561EB"/>
    <w:rsid w:val="117824F0"/>
    <w:rsid w:val="117E2370"/>
    <w:rsid w:val="11847341"/>
    <w:rsid w:val="119705AE"/>
    <w:rsid w:val="11A91074"/>
    <w:rsid w:val="11AC7561"/>
    <w:rsid w:val="11AF439E"/>
    <w:rsid w:val="11B66269"/>
    <w:rsid w:val="11BA0839"/>
    <w:rsid w:val="11BD64CA"/>
    <w:rsid w:val="11DA7C8C"/>
    <w:rsid w:val="11DD0E0D"/>
    <w:rsid w:val="11E84619"/>
    <w:rsid w:val="11F267E8"/>
    <w:rsid w:val="11F427FC"/>
    <w:rsid w:val="1210456D"/>
    <w:rsid w:val="12134828"/>
    <w:rsid w:val="12143598"/>
    <w:rsid w:val="121729B6"/>
    <w:rsid w:val="12266BC0"/>
    <w:rsid w:val="122C6138"/>
    <w:rsid w:val="12396B0A"/>
    <w:rsid w:val="123A52C3"/>
    <w:rsid w:val="123B062B"/>
    <w:rsid w:val="125A02CC"/>
    <w:rsid w:val="12836D2E"/>
    <w:rsid w:val="12845278"/>
    <w:rsid w:val="128E70AD"/>
    <w:rsid w:val="12A45BB3"/>
    <w:rsid w:val="12AC51B9"/>
    <w:rsid w:val="12B1068C"/>
    <w:rsid w:val="12BC3C60"/>
    <w:rsid w:val="12BF78FB"/>
    <w:rsid w:val="12C77089"/>
    <w:rsid w:val="12CB4026"/>
    <w:rsid w:val="12D16C9D"/>
    <w:rsid w:val="12D20ECB"/>
    <w:rsid w:val="12D93C20"/>
    <w:rsid w:val="12DD694C"/>
    <w:rsid w:val="12E815A8"/>
    <w:rsid w:val="12F538D3"/>
    <w:rsid w:val="12F85F0D"/>
    <w:rsid w:val="12FA54C0"/>
    <w:rsid w:val="131046DE"/>
    <w:rsid w:val="131B2229"/>
    <w:rsid w:val="131B463A"/>
    <w:rsid w:val="131D12BF"/>
    <w:rsid w:val="13204415"/>
    <w:rsid w:val="132625C2"/>
    <w:rsid w:val="132A7435"/>
    <w:rsid w:val="133B5756"/>
    <w:rsid w:val="134F2410"/>
    <w:rsid w:val="135F5E4E"/>
    <w:rsid w:val="137F1B10"/>
    <w:rsid w:val="1382164E"/>
    <w:rsid w:val="13AB3B97"/>
    <w:rsid w:val="13B35E26"/>
    <w:rsid w:val="13B66BD2"/>
    <w:rsid w:val="13BA2920"/>
    <w:rsid w:val="13BF66BA"/>
    <w:rsid w:val="13CA31CB"/>
    <w:rsid w:val="13CC10A6"/>
    <w:rsid w:val="13CD1105"/>
    <w:rsid w:val="13CF2E2F"/>
    <w:rsid w:val="13DC36E2"/>
    <w:rsid w:val="13FB39DC"/>
    <w:rsid w:val="13FE285E"/>
    <w:rsid w:val="14220CA7"/>
    <w:rsid w:val="144442DA"/>
    <w:rsid w:val="144C6544"/>
    <w:rsid w:val="14693B4C"/>
    <w:rsid w:val="147E5DFB"/>
    <w:rsid w:val="14812D74"/>
    <w:rsid w:val="14836C15"/>
    <w:rsid w:val="14862300"/>
    <w:rsid w:val="148C00A0"/>
    <w:rsid w:val="14A82A63"/>
    <w:rsid w:val="14AC358C"/>
    <w:rsid w:val="14B76730"/>
    <w:rsid w:val="14C154BE"/>
    <w:rsid w:val="14DA5F4A"/>
    <w:rsid w:val="14DE753E"/>
    <w:rsid w:val="14F51028"/>
    <w:rsid w:val="14F549EC"/>
    <w:rsid w:val="14F92549"/>
    <w:rsid w:val="14FD4800"/>
    <w:rsid w:val="15107C9B"/>
    <w:rsid w:val="15157DF4"/>
    <w:rsid w:val="151B0462"/>
    <w:rsid w:val="151C45D8"/>
    <w:rsid w:val="15290336"/>
    <w:rsid w:val="1536172C"/>
    <w:rsid w:val="155424D6"/>
    <w:rsid w:val="155B1745"/>
    <w:rsid w:val="155F651D"/>
    <w:rsid w:val="15655F19"/>
    <w:rsid w:val="157148FE"/>
    <w:rsid w:val="157348EB"/>
    <w:rsid w:val="15734986"/>
    <w:rsid w:val="15787FE5"/>
    <w:rsid w:val="157E21FE"/>
    <w:rsid w:val="158025EA"/>
    <w:rsid w:val="159D712B"/>
    <w:rsid w:val="159F74C6"/>
    <w:rsid w:val="15AA7A19"/>
    <w:rsid w:val="15AC5259"/>
    <w:rsid w:val="15B06B12"/>
    <w:rsid w:val="15B91C2A"/>
    <w:rsid w:val="15BE3D9D"/>
    <w:rsid w:val="15D4474D"/>
    <w:rsid w:val="15D7597F"/>
    <w:rsid w:val="160A09CB"/>
    <w:rsid w:val="160C437B"/>
    <w:rsid w:val="16160429"/>
    <w:rsid w:val="161C3234"/>
    <w:rsid w:val="162E199C"/>
    <w:rsid w:val="1641433F"/>
    <w:rsid w:val="165C4863"/>
    <w:rsid w:val="1663476A"/>
    <w:rsid w:val="166C0D1B"/>
    <w:rsid w:val="167344C7"/>
    <w:rsid w:val="16794785"/>
    <w:rsid w:val="167F5E7B"/>
    <w:rsid w:val="16853FE3"/>
    <w:rsid w:val="1695742C"/>
    <w:rsid w:val="169D1595"/>
    <w:rsid w:val="16A07BE9"/>
    <w:rsid w:val="16A65B92"/>
    <w:rsid w:val="16AD0A57"/>
    <w:rsid w:val="16BA18A0"/>
    <w:rsid w:val="16C41FCF"/>
    <w:rsid w:val="16C87BCB"/>
    <w:rsid w:val="16DC6856"/>
    <w:rsid w:val="16E7220A"/>
    <w:rsid w:val="16F7773E"/>
    <w:rsid w:val="16FC4F9F"/>
    <w:rsid w:val="16FD7F89"/>
    <w:rsid w:val="170133DA"/>
    <w:rsid w:val="170259E1"/>
    <w:rsid w:val="17026088"/>
    <w:rsid w:val="170353FD"/>
    <w:rsid w:val="171053FC"/>
    <w:rsid w:val="17165436"/>
    <w:rsid w:val="17343071"/>
    <w:rsid w:val="17382580"/>
    <w:rsid w:val="17405D13"/>
    <w:rsid w:val="175E4288"/>
    <w:rsid w:val="176C704A"/>
    <w:rsid w:val="17844C56"/>
    <w:rsid w:val="17881894"/>
    <w:rsid w:val="17A30F12"/>
    <w:rsid w:val="17BA48D6"/>
    <w:rsid w:val="17C535A1"/>
    <w:rsid w:val="17CD5EE0"/>
    <w:rsid w:val="17D77CA7"/>
    <w:rsid w:val="17DD34AB"/>
    <w:rsid w:val="17FC272C"/>
    <w:rsid w:val="17FE0B0A"/>
    <w:rsid w:val="17FE0C9F"/>
    <w:rsid w:val="17FF3C9D"/>
    <w:rsid w:val="180A527C"/>
    <w:rsid w:val="18235E85"/>
    <w:rsid w:val="182B529A"/>
    <w:rsid w:val="18331DAD"/>
    <w:rsid w:val="184F6A3A"/>
    <w:rsid w:val="18626DA9"/>
    <w:rsid w:val="18691AAC"/>
    <w:rsid w:val="186B15D6"/>
    <w:rsid w:val="186C1DBE"/>
    <w:rsid w:val="186E738D"/>
    <w:rsid w:val="187640ED"/>
    <w:rsid w:val="18804AA7"/>
    <w:rsid w:val="189E4C4F"/>
    <w:rsid w:val="18A16B9A"/>
    <w:rsid w:val="18AF5199"/>
    <w:rsid w:val="18B417E1"/>
    <w:rsid w:val="18B82989"/>
    <w:rsid w:val="18D91E06"/>
    <w:rsid w:val="18D979C0"/>
    <w:rsid w:val="18E67034"/>
    <w:rsid w:val="18E872D7"/>
    <w:rsid w:val="18F129B5"/>
    <w:rsid w:val="18F3471F"/>
    <w:rsid w:val="18F931E6"/>
    <w:rsid w:val="18FA042B"/>
    <w:rsid w:val="18FE4771"/>
    <w:rsid w:val="19046384"/>
    <w:rsid w:val="19200B97"/>
    <w:rsid w:val="19267DCF"/>
    <w:rsid w:val="19274B27"/>
    <w:rsid w:val="192A5704"/>
    <w:rsid w:val="193774B0"/>
    <w:rsid w:val="194A1ACB"/>
    <w:rsid w:val="19537076"/>
    <w:rsid w:val="195621A4"/>
    <w:rsid w:val="19564B19"/>
    <w:rsid w:val="195E2D4F"/>
    <w:rsid w:val="195F336A"/>
    <w:rsid w:val="196A0432"/>
    <w:rsid w:val="19720BF1"/>
    <w:rsid w:val="19764535"/>
    <w:rsid w:val="198374F4"/>
    <w:rsid w:val="1989194D"/>
    <w:rsid w:val="19894C83"/>
    <w:rsid w:val="19A7296F"/>
    <w:rsid w:val="19B94DE5"/>
    <w:rsid w:val="19BB7983"/>
    <w:rsid w:val="19D76F77"/>
    <w:rsid w:val="19DE7440"/>
    <w:rsid w:val="19FE37C1"/>
    <w:rsid w:val="1A045B87"/>
    <w:rsid w:val="1A15033C"/>
    <w:rsid w:val="1A1E2D81"/>
    <w:rsid w:val="1A5F7253"/>
    <w:rsid w:val="1A627459"/>
    <w:rsid w:val="1A725418"/>
    <w:rsid w:val="1A7A2EF9"/>
    <w:rsid w:val="1A7F4EDC"/>
    <w:rsid w:val="1A8F2FDB"/>
    <w:rsid w:val="1A960E81"/>
    <w:rsid w:val="1A9A0C93"/>
    <w:rsid w:val="1AB02AE4"/>
    <w:rsid w:val="1AB359A1"/>
    <w:rsid w:val="1ABD31B9"/>
    <w:rsid w:val="1ABF3A95"/>
    <w:rsid w:val="1AC918CC"/>
    <w:rsid w:val="1AC91D4C"/>
    <w:rsid w:val="1ACE2A77"/>
    <w:rsid w:val="1AD431E8"/>
    <w:rsid w:val="1AD55B02"/>
    <w:rsid w:val="1ADA6731"/>
    <w:rsid w:val="1ADC2627"/>
    <w:rsid w:val="1AE72043"/>
    <w:rsid w:val="1AF06C95"/>
    <w:rsid w:val="1AF13F6B"/>
    <w:rsid w:val="1AF34AE5"/>
    <w:rsid w:val="1AF3712C"/>
    <w:rsid w:val="1AF84C8C"/>
    <w:rsid w:val="1AFE2079"/>
    <w:rsid w:val="1B00502A"/>
    <w:rsid w:val="1B0B3B20"/>
    <w:rsid w:val="1B1613A0"/>
    <w:rsid w:val="1B2A7E36"/>
    <w:rsid w:val="1B324397"/>
    <w:rsid w:val="1B344B51"/>
    <w:rsid w:val="1B372EB9"/>
    <w:rsid w:val="1B40005E"/>
    <w:rsid w:val="1B4170C4"/>
    <w:rsid w:val="1B4268B4"/>
    <w:rsid w:val="1B5D3106"/>
    <w:rsid w:val="1B63750A"/>
    <w:rsid w:val="1B7171C2"/>
    <w:rsid w:val="1B7906CE"/>
    <w:rsid w:val="1B7D07F3"/>
    <w:rsid w:val="1B831B2B"/>
    <w:rsid w:val="1B9E34C7"/>
    <w:rsid w:val="1BA57F07"/>
    <w:rsid w:val="1BAA3905"/>
    <w:rsid w:val="1BB01F6E"/>
    <w:rsid w:val="1BB848C7"/>
    <w:rsid w:val="1BCA7505"/>
    <w:rsid w:val="1BD1411B"/>
    <w:rsid w:val="1BD91032"/>
    <w:rsid w:val="1BE468DD"/>
    <w:rsid w:val="1BF768CD"/>
    <w:rsid w:val="1C07248F"/>
    <w:rsid w:val="1C0D0258"/>
    <w:rsid w:val="1C0D60C9"/>
    <w:rsid w:val="1C121314"/>
    <w:rsid w:val="1C1A0D30"/>
    <w:rsid w:val="1C1C404C"/>
    <w:rsid w:val="1C206F70"/>
    <w:rsid w:val="1C33796F"/>
    <w:rsid w:val="1C341EE3"/>
    <w:rsid w:val="1C441419"/>
    <w:rsid w:val="1C561E66"/>
    <w:rsid w:val="1C6D4144"/>
    <w:rsid w:val="1C726EC3"/>
    <w:rsid w:val="1C763944"/>
    <w:rsid w:val="1C793EB9"/>
    <w:rsid w:val="1C7F3D5F"/>
    <w:rsid w:val="1C807142"/>
    <w:rsid w:val="1C824DF7"/>
    <w:rsid w:val="1C826DAE"/>
    <w:rsid w:val="1C925AEF"/>
    <w:rsid w:val="1C9A166E"/>
    <w:rsid w:val="1CA35D92"/>
    <w:rsid w:val="1CA46A25"/>
    <w:rsid w:val="1CAA7318"/>
    <w:rsid w:val="1CB702E9"/>
    <w:rsid w:val="1CBE5026"/>
    <w:rsid w:val="1CF333A5"/>
    <w:rsid w:val="1D031DDA"/>
    <w:rsid w:val="1D0B731D"/>
    <w:rsid w:val="1D2054C4"/>
    <w:rsid w:val="1D322F53"/>
    <w:rsid w:val="1D4969F4"/>
    <w:rsid w:val="1D4C117F"/>
    <w:rsid w:val="1D563E2F"/>
    <w:rsid w:val="1D5A17CD"/>
    <w:rsid w:val="1D684015"/>
    <w:rsid w:val="1D6F79AF"/>
    <w:rsid w:val="1D8F5B72"/>
    <w:rsid w:val="1D8F6826"/>
    <w:rsid w:val="1D9C5DA0"/>
    <w:rsid w:val="1D9F462B"/>
    <w:rsid w:val="1DA265B5"/>
    <w:rsid w:val="1DEC45ED"/>
    <w:rsid w:val="1E0C0224"/>
    <w:rsid w:val="1E157EC4"/>
    <w:rsid w:val="1E1B1542"/>
    <w:rsid w:val="1E1D7E95"/>
    <w:rsid w:val="1E224747"/>
    <w:rsid w:val="1E304B88"/>
    <w:rsid w:val="1E3E02E7"/>
    <w:rsid w:val="1E3F3EAB"/>
    <w:rsid w:val="1E574243"/>
    <w:rsid w:val="1E6703B7"/>
    <w:rsid w:val="1E680B85"/>
    <w:rsid w:val="1E6848F0"/>
    <w:rsid w:val="1E9D4737"/>
    <w:rsid w:val="1E9D55A8"/>
    <w:rsid w:val="1EA13E87"/>
    <w:rsid w:val="1EB10FE2"/>
    <w:rsid w:val="1EC11B39"/>
    <w:rsid w:val="1ED23028"/>
    <w:rsid w:val="1ED94E25"/>
    <w:rsid w:val="1EDB6C5F"/>
    <w:rsid w:val="1EDF5AD9"/>
    <w:rsid w:val="1EE6740D"/>
    <w:rsid w:val="1F020B3E"/>
    <w:rsid w:val="1F0E4BC0"/>
    <w:rsid w:val="1F141EF2"/>
    <w:rsid w:val="1F1D5512"/>
    <w:rsid w:val="1F303EA7"/>
    <w:rsid w:val="1F3906C1"/>
    <w:rsid w:val="1F3C6AF7"/>
    <w:rsid w:val="1F405E44"/>
    <w:rsid w:val="1F4151E4"/>
    <w:rsid w:val="1F4E681F"/>
    <w:rsid w:val="1F5324C1"/>
    <w:rsid w:val="1F6833F6"/>
    <w:rsid w:val="1F7216B7"/>
    <w:rsid w:val="1F7959F4"/>
    <w:rsid w:val="1F7C006C"/>
    <w:rsid w:val="1F7C19E4"/>
    <w:rsid w:val="1F83562C"/>
    <w:rsid w:val="1F8621A7"/>
    <w:rsid w:val="1FB63655"/>
    <w:rsid w:val="1FBD7AAE"/>
    <w:rsid w:val="1FBE77B2"/>
    <w:rsid w:val="1FC26AB9"/>
    <w:rsid w:val="1FE91483"/>
    <w:rsid w:val="1FED166B"/>
    <w:rsid w:val="1FF05FBA"/>
    <w:rsid w:val="2000119F"/>
    <w:rsid w:val="20023827"/>
    <w:rsid w:val="20107ED3"/>
    <w:rsid w:val="201359DF"/>
    <w:rsid w:val="201C304F"/>
    <w:rsid w:val="202F6E02"/>
    <w:rsid w:val="203128B6"/>
    <w:rsid w:val="20365F6D"/>
    <w:rsid w:val="203B1416"/>
    <w:rsid w:val="203C2005"/>
    <w:rsid w:val="20420995"/>
    <w:rsid w:val="204D7AED"/>
    <w:rsid w:val="204F595B"/>
    <w:rsid w:val="206301A7"/>
    <w:rsid w:val="20642E89"/>
    <w:rsid w:val="206F7CD5"/>
    <w:rsid w:val="207E34E5"/>
    <w:rsid w:val="20850EC1"/>
    <w:rsid w:val="20934FE0"/>
    <w:rsid w:val="209A17A4"/>
    <w:rsid w:val="20A70ABE"/>
    <w:rsid w:val="20B836F9"/>
    <w:rsid w:val="20C10077"/>
    <w:rsid w:val="20C261C8"/>
    <w:rsid w:val="20C96FD1"/>
    <w:rsid w:val="20D562D7"/>
    <w:rsid w:val="20D7294E"/>
    <w:rsid w:val="20DA5281"/>
    <w:rsid w:val="20E35BDE"/>
    <w:rsid w:val="20E9348D"/>
    <w:rsid w:val="20EB3474"/>
    <w:rsid w:val="20F32934"/>
    <w:rsid w:val="20F667B9"/>
    <w:rsid w:val="20F90A4D"/>
    <w:rsid w:val="20FB7568"/>
    <w:rsid w:val="21030340"/>
    <w:rsid w:val="21094038"/>
    <w:rsid w:val="210D2CDA"/>
    <w:rsid w:val="211779F9"/>
    <w:rsid w:val="212F6A59"/>
    <w:rsid w:val="21306305"/>
    <w:rsid w:val="21317FB0"/>
    <w:rsid w:val="213D54AD"/>
    <w:rsid w:val="2141222F"/>
    <w:rsid w:val="214169BB"/>
    <w:rsid w:val="21447E3B"/>
    <w:rsid w:val="215D0D89"/>
    <w:rsid w:val="215F7E39"/>
    <w:rsid w:val="21746E77"/>
    <w:rsid w:val="217C7971"/>
    <w:rsid w:val="217D44BC"/>
    <w:rsid w:val="21986210"/>
    <w:rsid w:val="21997056"/>
    <w:rsid w:val="219B2AEE"/>
    <w:rsid w:val="219D3F2A"/>
    <w:rsid w:val="21A01ED2"/>
    <w:rsid w:val="21AB77F7"/>
    <w:rsid w:val="21BF03BC"/>
    <w:rsid w:val="21BF480E"/>
    <w:rsid w:val="21C95AEE"/>
    <w:rsid w:val="21D06D34"/>
    <w:rsid w:val="21D52CEC"/>
    <w:rsid w:val="21FF71D8"/>
    <w:rsid w:val="2209399D"/>
    <w:rsid w:val="22101F8E"/>
    <w:rsid w:val="2225227E"/>
    <w:rsid w:val="224E39DE"/>
    <w:rsid w:val="224E74D0"/>
    <w:rsid w:val="225F6041"/>
    <w:rsid w:val="227F5037"/>
    <w:rsid w:val="228A008B"/>
    <w:rsid w:val="229A7E25"/>
    <w:rsid w:val="22AA0362"/>
    <w:rsid w:val="22AA08F1"/>
    <w:rsid w:val="22B059F5"/>
    <w:rsid w:val="22B06BDB"/>
    <w:rsid w:val="22BD504B"/>
    <w:rsid w:val="22D61781"/>
    <w:rsid w:val="22E95A8D"/>
    <w:rsid w:val="22EF2816"/>
    <w:rsid w:val="22F017B2"/>
    <w:rsid w:val="22F97E5B"/>
    <w:rsid w:val="22FA647A"/>
    <w:rsid w:val="230B07F6"/>
    <w:rsid w:val="23143B37"/>
    <w:rsid w:val="231637F9"/>
    <w:rsid w:val="23230E78"/>
    <w:rsid w:val="232C27B2"/>
    <w:rsid w:val="233027B0"/>
    <w:rsid w:val="23415924"/>
    <w:rsid w:val="23545D8A"/>
    <w:rsid w:val="23572E7E"/>
    <w:rsid w:val="235924CA"/>
    <w:rsid w:val="23592D87"/>
    <w:rsid w:val="236D4F13"/>
    <w:rsid w:val="237B7D6C"/>
    <w:rsid w:val="23837B67"/>
    <w:rsid w:val="23857493"/>
    <w:rsid w:val="238755B6"/>
    <w:rsid w:val="23885214"/>
    <w:rsid w:val="238B65DE"/>
    <w:rsid w:val="239130F2"/>
    <w:rsid w:val="239B728F"/>
    <w:rsid w:val="23AE6E9E"/>
    <w:rsid w:val="23BD6F6C"/>
    <w:rsid w:val="23C62FD3"/>
    <w:rsid w:val="23C80F4A"/>
    <w:rsid w:val="23C94C3D"/>
    <w:rsid w:val="23CA110E"/>
    <w:rsid w:val="23D33566"/>
    <w:rsid w:val="23D9762E"/>
    <w:rsid w:val="23E52298"/>
    <w:rsid w:val="23F06611"/>
    <w:rsid w:val="24137B5B"/>
    <w:rsid w:val="24176341"/>
    <w:rsid w:val="24211333"/>
    <w:rsid w:val="242461D7"/>
    <w:rsid w:val="242C04D9"/>
    <w:rsid w:val="242E2FF6"/>
    <w:rsid w:val="242E7ECB"/>
    <w:rsid w:val="24401E98"/>
    <w:rsid w:val="244F2484"/>
    <w:rsid w:val="24574CEB"/>
    <w:rsid w:val="245D41D2"/>
    <w:rsid w:val="245F56B6"/>
    <w:rsid w:val="24667266"/>
    <w:rsid w:val="24682437"/>
    <w:rsid w:val="246B77A5"/>
    <w:rsid w:val="24731A96"/>
    <w:rsid w:val="247A5C3A"/>
    <w:rsid w:val="248654B3"/>
    <w:rsid w:val="248907B2"/>
    <w:rsid w:val="249A5E20"/>
    <w:rsid w:val="249C2676"/>
    <w:rsid w:val="249C6208"/>
    <w:rsid w:val="24A20ED0"/>
    <w:rsid w:val="24B0489D"/>
    <w:rsid w:val="24BD38BA"/>
    <w:rsid w:val="24D20A06"/>
    <w:rsid w:val="24F17428"/>
    <w:rsid w:val="251E0656"/>
    <w:rsid w:val="252053F9"/>
    <w:rsid w:val="25467DBB"/>
    <w:rsid w:val="25473E3C"/>
    <w:rsid w:val="256343AC"/>
    <w:rsid w:val="256D672B"/>
    <w:rsid w:val="256F1C33"/>
    <w:rsid w:val="257F18B5"/>
    <w:rsid w:val="25805FF5"/>
    <w:rsid w:val="258F15BB"/>
    <w:rsid w:val="259231BD"/>
    <w:rsid w:val="25A77DD4"/>
    <w:rsid w:val="25AF34EC"/>
    <w:rsid w:val="25BB6C64"/>
    <w:rsid w:val="25C97301"/>
    <w:rsid w:val="25CD7961"/>
    <w:rsid w:val="25D248A9"/>
    <w:rsid w:val="25D64403"/>
    <w:rsid w:val="25EB32C5"/>
    <w:rsid w:val="260B255C"/>
    <w:rsid w:val="26217848"/>
    <w:rsid w:val="262E20E8"/>
    <w:rsid w:val="262E34C1"/>
    <w:rsid w:val="2640682F"/>
    <w:rsid w:val="26510DB8"/>
    <w:rsid w:val="26535F46"/>
    <w:rsid w:val="26581B54"/>
    <w:rsid w:val="26667EB2"/>
    <w:rsid w:val="266B1FB8"/>
    <w:rsid w:val="267E518B"/>
    <w:rsid w:val="26872779"/>
    <w:rsid w:val="269B3F13"/>
    <w:rsid w:val="26A4288C"/>
    <w:rsid w:val="26AA10DC"/>
    <w:rsid w:val="26BA59F2"/>
    <w:rsid w:val="26C36DE5"/>
    <w:rsid w:val="26C730C3"/>
    <w:rsid w:val="26C9404D"/>
    <w:rsid w:val="26F40E3F"/>
    <w:rsid w:val="26F40EBD"/>
    <w:rsid w:val="26FA2DE3"/>
    <w:rsid w:val="27222699"/>
    <w:rsid w:val="272A3F42"/>
    <w:rsid w:val="272D4BD4"/>
    <w:rsid w:val="273216D6"/>
    <w:rsid w:val="273D1CBA"/>
    <w:rsid w:val="27450038"/>
    <w:rsid w:val="274A7B1A"/>
    <w:rsid w:val="274E7F35"/>
    <w:rsid w:val="275439E1"/>
    <w:rsid w:val="276320D7"/>
    <w:rsid w:val="27935D1D"/>
    <w:rsid w:val="279408D2"/>
    <w:rsid w:val="2797120A"/>
    <w:rsid w:val="279A2ED3"/>
    <w:rsid w:val="27A558F9"/>
    <w:rsid w:val="27AE45AD"/>
    <w:rsid w:val="27B02558"/>
    <w:rsid w:val="27B76B79"/>
    <w:rsid w:val="27B91021"/>
    <w:rsid w:val="27BD00ED"/>
    <w:rsid w:val="27C06D17"/>
    <w:rsid w:val="27D8400C"/>
    <w:rsid w:val="27FE20BF"/>
    <w:rsid w:val="27FE4240"/>
    <w:rsid w:val="280008FF"/>
    <w:rsid w:val="28050D91"/>
    <w:rsid w:val="281035C6"/>
    <w:rsid w:val="28255041"/>
    <w:rsid w:val="2832636A"/>
    <w:rsid w:val="283A1E3E"/>
    <w:rsid w:val="284543A1"/>
    <w:rsid w:val="284D7A82"/>
    <w:rsid w:val="28553E1D"/>
    <w:rsid w:val="285C1E48"/>
    <w:rsid w:val="287B60A8"/>
    <w:rsid w:val="28821314"/>
    <w:rsid w:val="28AD2029"/>
    <w:rsid w:val="28AD4319"/>
    <w:rsid w:val="28B220F4"/>
    <w:rsid w:val="28B35B12"/>
    <w:rsid w:val="28C075A4"/>
    <w:rsid w:val="28C33C7D"/>
    <w:rsid w:val="28DA6C60"/>
    <w:rsid w:val="28DB0A30"/>
    <w:rsid w:val="28EA35D3"/>
    <w:rsid w:val="28F33F0D"/>
    <w:rsid w:val="28F95F71"/>
    <w:rsid w:val="28FF4C6A"/>
    <w:rsid w:val="29061D2F"/>
    <w:rsid w:val="290753B9"/>
    <w:rsid w:val="291712DF"/>
    <w:rsid w:val="29192BE8"/>
    <w:rsid w:val="291C432F"/>
    <w:rsid w:val="292A375F"/>
    <w:rsid w:val="293067E3"/>
    <w:rsid w:val="29316984"/>
    <w:rsid w:val="293310A0"/>
    <w:rsid w:val="2938092A"/>
    <w:rsid w:val="293966D9"/>
    <w:rsid w:val="2946144E"/>
    <w:rsid w:val="294A5BC8"/>
    <w:rsid w:val="29504176"/>
    <w:rsid w:val="295725C3"/>
    <w:rsid w:val="29614C64"/>
    <w:rsid w:val="29657C4F"/>
    <w:rsid w:val="296B20A7"/>
    <w:rsid w:val="297D1A8B"/>
    <w:rsid w:val="2991185F"/>
    <w:rsid w:val="29981CF5"/>
    <w:rsid w:val="29A4634A"/>
    <w:rsid w:val="29A62EDD"/>
    <w:rsid w:val="29A84DD1"/>
    <w:rsid w:val="29AA2390"/>
    <w:rsid w:val="29B85AFC"/>
    <w:rsid w:val="29BA2076"/>
    <w:rsid w:val="29BB74AF"/>
    <w:rsid w:val="29CD2270"/>
    <w:rsid w:val="29D22D87"/>
    <w:rsid w:val="29EB2636"/>
    <w:rsid w:val="29F26903"/>
    <w:rsid w:val="2A0B66F6"/>
    <w:rsid w:val="2A0F7591"/>
    <w:rsid w:val="2A2545D8"/>
    <w:rsid w:val="2A2C011C"/>
    <w:rsid w:val="2A3B063B"/>
    <w:rsid w:val="2A442EDC"/>
    <w:rsid w:val="2A477F01"/>
    <w:rsid w:val="2A49761F"/>
    <w:rsid w:val="2A4C74B8"/>
    <w:rsid w:val="2A500712"/>
    <w:rsid w:val="2A594D3D"/>
    <w:rsid w:val="2A627A42"/>
    <w:rsid w:val="2A630308"/>
    <w:rsid w:val="2A676AD0"/>
    <w:rsid w:val="2A687AA6"/>
    <w:rsid w:val="2A770CC7"/>
    <w:rsid w:val="2A7D16AE"/>
    <w:rsid w:val="2A9A66D4"/>
    <w:rsid w:val="2A9E6576"/>
    <w:rsid w:val="2AAC36BD"/>
    <w:rsid w:val="2AB04937"/>
    <w:rsid w:val="2ACA2140"/>
    <w:rsid w:val="2ACF5AEC"/>
    <w:rsid w:val="2AD62AB0"/>
    <w:rsid w:val="2ADE1583"/>
    <w:rsid w:val="2AE70523"/>
    <w:rsid w:val="2AF12CDF"/>
    <w:rsid w:val="2AF57853"/>
    <w:rsid w:val="2B0726A6"/>
    <w:rsid w:val="2B182996"/>
    <w:rsid w:val="2B1D232F"/>
    <w:rsid w:val="2B1D6F4B"/>
    <w:rsid w:val="2B2D1363"/>
    <w:rsid w:val="2B335E16"/>
    <w:rsid w:val="2B42025A"/>
    <w:rsid w:val="2B450516"/>
    <w:rsid w:val="2B4526E2"/>
    <w:rsid w:val="2B5039D8"/>
    <w:rsid w:val="2B592A46"/>
    <w:rsid w:val="2B5B7165"/>
    <w:rsid w:val="2B611B55"/>
    <w:rsid w:val="2B64740E"/>
    <w:rsid w:val="2B686C09"/>
    <w:rsid w:val="2B8B34AB"/>
    <w:rsid w:val="2B914C5E"/>
    <w:rsid w:val="2BB44220"/>
    <w:rsid w:val="2BB61EA7"/>
    <w:rsid w:val="2BBA6EF5"/>
    <w:rsid w:val="2BC03979"/>
    <w:rsid w:val="2BC941AF"/>
    <w:rsid w:val="2BDC02CD"/>
    <w:rsid w:val="2BE044B3"/>
    <w:rsid w:val="2BEC4F7F"/>
    <w:rsid w:val="2BF01DD3"/>
    <w:rsid w:val="2BF02C47"/>
    <w:rsid w:val="2BF51B27"/>
    <w:rsid w:val="2C084DEA"/>
    <w:rsid w:val="2C11705A"/>
    <w:rsid w:val="2C1216FD"/>
    <w:rsid w:val="2C1A3F2E"/>
    <w:rsid w:val="2C1F2023"/>
    <w:rsid w:val="2C1F2C4F"/>
    <w:rsid w:val="2C290671"/>
    <w:rsid w:val="2C2F6966"/>
    <w:rsid w:val="2C416890"/>
    <w:rsid w:val="2C4D767D"/>
    <w:rsid w:val="2C5514C6"/>
    <w:rsid w:val="2C5C2032"/>
    <w:rsid w:val="2C5C40E4"/>
    <w:rsid w:val="2C5F0C97"/>
    <w:rsid w:val="2C6826E3"/>
    <w:rsid w:val="2C72088D"/>
    <w:rsid w:val="2C7A3BB0"/>
    <w:rsid w:val="2C7D6665"/>
    <w:rsid w:val="2C865A05"/>
    <w:rsid w:val="2C8B0557"/>
    <w:rsid w:val="2C93008A"/>
    <w:rsid w:val="2C9A28D3"/>
    <w:rsid w:val="2CBC4209"/>
    <w:rsid w:val="2CC67DC9"/>
    <w:rsid w:val="2CDA4FDA"/>
    <w:rsid w:val="2CDC7091"/>
    <w:rsid w:val="2CE34FAF"/>
    <w:rsid w:val="2CFD5C64"/>
    <w:rsid w:val="2D0128E8"/>
    <w:rsid w:val="2D0E231B"/>
    <w:rsid w:val="2D1A1A6B"/>
    <w:rsid w:val="2D1A4915"/>
    <w:rsid w:val="2D305BE1"/>
    <w:rsid w:val="2D306B85"/>
    <w:rsid w:val="2D400A9F"/>
    <w:rsid w:val="2D4F3462"/>
    <w:rsid w:val="2D62770C"/>
    <w:rsid w:val="2D8151A4"/>
    <w:rsid w:val="2D86080F"/>
    <w:rsid w:val="2DA02E9C"/>
    <w:rsid w:val="2DB06C2B"/>
    <w:rsid w:val="2DBF0C3E"/>
    <w:rsid w:val="2DBF1601"/>
    <w:rsid w:val="2DBF4C3A"/>
    <w:rsid w:val="2DC464AC"/>
    <w:rsid w:val="2DF04CFF"/>
    <w:rsid w:val="2DF6091F"/>
    <w:rsid w:val="2DF77C3F"/>
    <w:rsid w:val="2DFA6574"/>
    <w:rsid w:val="2E040A80"/>
    <w:rsid w:val="2E045136"/>
    <w:rsid w:val="2E095C19"/>
    <w:rsid w:val="2E0F3A78"/>
    <w:rsid w:val="2E1530A6"/>
    <w:rsid w:val="2E190FE7"/>
    <w:rsid w:val="2E1C67D7"/>
    <w:rsid w:val="2E23428A"/>
    <w:rsid w:val="2E2630D7"/>
    <w:rsid w:val="2E2806DD"/>
    <w:rsid w:val="2E2A4425"/>
    <w:rsid w:val="2E2C726E"/>
    <w:rsid w:val="2E3A3030"/>
    <w:rsid w:val="2E46069F"/>
    <w:rsid w:val="2E662F22"/>
    <w:rsid w:val="2E6F4813"/>
    <w:rsid w:val="2E705752"/>
    <w:rsid w:val="2E7B65BB"/>
    <w:rsid w:val="2E8F09A4"/>
    <w:rsid w:val="2E993370"/>
    <w:rsid w:val="2E9E678F"/>
    <w:rsid w:val="2EA26ABE"/>
    <w:rsid w:val="2EA36224"/>
    <w:rsid w:val="2EA74B75"/>
    <w:rsid w:val="2EB61295"/>
    <w:rsid w:val="2EEA307E"/>
    <w:rsid w:val="2EF53C20"/>
    <w:rsid w:val="2EFC5DDD"/>
    <w:rsid w:val="2F002CCF"/>
    <w:rsid w:val="2F0160A3"/>
    <w:rsid w:val="2F040464"/>
    <w:rsid w:val="2F0F2CB7"/>
    <w:rsid w:val="2F18561C"/>
    <w:rsid w:val="2F1A491A"/>
    <w:rsid w:val="2F2960CC"/>
    <w:rsid w:val="2F2F3D52"/>
    <w:rsid w:val="2F3B7B8B"/>
    <w:rsid w:val="2F4530B9"/>
    <w:rsid w:val="2F4B7821"/>
    <w:rsid w:val="2F526911"/>
    <w:rsid w:val="2F612D64"/>
    <w:rsid w:val="2F691233"/>
    <w:rsid w:val="2F712CF7"/>
    <w:rsid w:val="2F7645B8"/>
    <w:rsid w:val="2F805714"/>
    <w:rsid w:val="2F8E5F5C"/>
    <w:rsid w:val="2FA21231"/>
    <w:rsid w:val="2FAD4759"/>
    <w:rsid w:val="2FCA0967"/>
    <w:rsid w:val="2FF117AD"/>
    <w:rsid w:val="2FF95633"/>
    <w:rsid w:val="30010F70"/>
    <w:rsid w:val="300F7F13"/>
    <w:rsid w:val="301E3C00"/>
    <w:rsid w:val="3045713F"/>
    <w:rsid w:val="304872C5"/>
    <w:rsid w:val="30500A5C"/>
    <w:rsid w:val="30577DEE"/>
    <w:rsid w:val="30752E77"/>
    <w:rsid w:val="308018A6"/>
    <w:rsid w:val="30804E19"/>
    <w:rsid w:val="3090288F"/>
    <w:rsid w:val="309B0CFB"/>
    <w:rsid w:val="309E4272"/>
    <w:rsid w:val="30B7307E"/>
    <w:rsid w:val="30BA321D"/>
    <w:rsid w:val="30DC45E8"/>
    <w:rsid w:val="30DD6027"/>
    <w:rsid w:val="30DE16AB"/>
    <w:rsid w:val="30F44A95"/>
    <w:rsid w:val="30F77A98"/>
    <w:rsid w:val="30FA21D8"/>
    <w:rsid w:val="31031965"/>
    <w:rsid w:val="31057139"/>
    <w:rsid w:val="311D5B14"/>
    <w:rsid w:val="312D1F98"/>
    <w:rsid w:val="313A7B85"/>
    <w:rsid w:val="31454E97"/>
    <w:rsid w:val="31497C50"/>
    <w:rsid w:val="314A019C"/>
    <w:rsid w:val="31647576"/>
    <w:rsid w:val="31665E5D"/>
    <w:rsid w:val="316B0F75"/>
    <w:rsid w:val="316D6950"/>
    <w:rsid w:val="3171328C"/>
    <w:rsid w:val="317260A3"/>
    <w:rsid w:val="317B798E"/>
    <w:rsid w:val="31822EAF"/>
    <w:rsid w:val="31840D12"/>
    <w:rsid w:val="31846FF6"/>
    <w:rsid w:val="318614C0"/>
    <w:rsid w:val="319268E9"/>
    <w:rsid w:val="319D6381"/>
    <w:rsid w:val="31A53A0B"/>
    <w:rsid w:val="31B23BA8"/>
    <w:rsid w:val="31CA5CF8"/>
    <w:rsid w:val="31CB26CD"/>
    <w:rsid w:val="31D06A52"/>
    <w:rsid w:val="31DE1689"/>
    <w:rsid w:val="31DF319B"/>
    <w:rsid w:val="31ED7028"/>
    <w:rsid w:val="31F20023"/>
    <w:rsid w:val="31F240F2"/>
    <w:rsid w:val="31F30ACC"/>
    <w:rsid w:val="31F937C1"/>
    <w:rsid w:val="31FA7AEE"/>
    <w:rsid w:val="31FB60C5"/>
    <w:rsid w:val="3209100C"/>
    <w:rsid w:val="32226597"/>
    <w:rsid w:val="3238698E"/>
    <w:rsid w:val="324968A9"/>
    <w:rsid w:val="324F1DD8"/>
    <w:rsid w:val="32666821"/>
    <w:rsid w:val="326B7BBB"/>
    <w:rsid w:val="327A3DD6"/>
    <w:rsid w:val="327E6AD8"/>
    <w:rsid w:val="32946A84"/>
    <w:rsid w:val="32BC6631"/>
    <w:rsid w:val="32C05B65"/>
    <w:rsid w:val="32C6418D"/>
    <w:rsid w:val="32D14A7F"/>
    <w:rsid w:val="32D26AE6"/>
    <w:rsid w:val="32E343F6"/>
    <w:rsid w:val="32E770DD"/>
    <w:rsid w:val="32E921F0"/>
    <w:rsid w:val="32EC6CFE"/>
    <w:rsid w:val="32F76D5D"/>
    <w:rsid w:val="32F86450"/>
    <w:rsid w:val="330244A4"/>
    <w:rsid w:val="331B37C6"/>
    <w:rsid w:val="331C390F"/>
    <w:rsid w:val="332663D3"/>
    <w:rsid w:val="33610DDA"/>
    <w:rsid w:val="33767D1F"/>
    <w:rsid w:val="337B22A9"/>
    <w:rsid w:val="337F446B"/>
    <w:rsid w:val="33854201"/>
    <w:rsid w:val="338A4989"/>
    <w:rsid w:val="339902E6"/>
    <w:rsid w:val="33A156DE"/>
    <w:rsid w:val="33B70359"/>
    <w:rsid w:val="33BA1B32"/>
    <w:rsid w:val="33DF4DA9"/>
    <w:rsid w:val="33E20DF0"/>
    <w:rsid w:val="34086145"/>
    <w:rsid w:val="34087429"/>
    <w:rsid w:val="340B5F03"/>
    <w:rsid w:val="341315B5"/>
    <w:rsid w:val="34147AA7"/>
    <w:rsid w:val="341C7B90"/>
    <w:rsid w:val="342363B5"/>
    <w:rsid w:val="342D3CE2"/>
    <w:rsid w:val="34343D6C"/>
    <w:rsid w:val="34347DC5"/>
    <w:rsid w:val="34380493"/>
    <w:rsid w:val="343E23B4"/>
    <w:rsid w:val="34463967"/>
    <w:rsid w:val="344C08D2"/>
    <w:rsid w:val="345543D1"/>
    <w:rsid w:val="345A7367"/>
    <w:rsid w:val="345D2CD0"/>
    <w:rsid w:val="346C0AEA"/>
    <w:rsid w:val="347F540F"/>
    <w:rsid w:val="34863322"/>
    <w:rsid w:val="348F7A0E"/>
    <w:rsid w:val="349A0B7D"/>
    <w:rsid w:val="34B51A96"/>
    <w:rsid w:val="34BB2A07"/>
    <w:rsid w:val="34C80046"/>
    <w:rsid w:val="34C800BD"/>
    <w:rsid w:val="34D47C8A"/>
    <w:rsid w:val="34DB0CAC"/>
    <w:rsid w:val="34E972FC"/>
    <w:rsid w:val="34FF2166"/>
    <w:rsid w:val="35086B54"/>
    <w:rsid w:val="351C075B"/>
    <w:rsid w:val="35306933"/>
    <w:rsid w:val="35333FF2"/>
    <w:rsid w:val="353C75ED"/>
    <w:rsid w:val="353E791E"/>
    <w:rsid w:val="354008AB"/>
    <w:rsid w:val="354C7B38"/>
    <w:rsid w:val="354F28B8"/>
    <w:rsid w:val="35534591"/>
    <w:rsid w:val="35562F9E"/>
    <w:rsid w:val="355D687A"/>
    <w:rsid w:val="356579E8"/>
    <w:rsid w:val="356721FE"/>
    <w:rsid w:val="35691707"/>
    <w:rsid w:val="35744059"/>
    <w:rsid w:val="35771AC2"/>
    <w:rsid w:val="357960B4"/>
    <w:rsid w:val="359C1F6C"/>
    <w:rsid w:val="35A0338E"/>
    <w:rsid w:val="35A16611"/>
    <w:rsid w:val="35A31A0A"/>
    <w:rsid w:val="35AB5D7D"/>
    <w:rsid w:val="35B31B82"/>
    <w:rsid w:val="35C154C0"/>
    <w:rsid w:val="35C7584B"/>
    <w:rsid w:val="35CE6165"/>
    <w:rsid w:val="35D31DE1"/>
    <w:rsid w:val="35DD2AEE"/>
    <w:rsid w:val="35EA6509"/>
    <w:rsid w:val="35EA76AA"/>
    <w:rsid w:val="35EC4160"/>
    <w:rsid w:val="35F44E5C"/>
    <w:rsid w:val="35F45994"/>
    <w:rsid w:val="35F72ED1"/>
    <w:rsid w:val="3602050E"/>
    <w:rsid w:val="36101A49"/>
    <w:rsid w:val="361A2F27"/>
    <w:rsid w:val="36265F04"/>
    <w:rsid w:val="362944AD"/>
    <w:rsid w:val="36297754"/>
    <w:rsid w:val="363F4D43"/>
    <w:rsid w:val="365F765A"/>
    <w:rsid w:val="36627C0A"/>
    <w:rsid w:val="36693B36"/>
    <w:rsid w:val="366B0AAA"/>
    <w:rsid w:val="366D49A8"/>
    <w:rsid w:val="3671553D"/>
    <w:rsid w:val="36752210"/>
    <w:rsid w:val="36922B55"/>
    <w:rsid w:val="36980619"/>
    <w:rsid w:val="36991125"/>
    <w:rsid w:val="36996589"/>
    <w:rsid w:val="36997C50"/>
    <w:rsid w:val="36B121C7"/>
    <w:rsid w:val="36B2486C"/>
    <w:rsid w:val="36D27C18"/>
    <w:rsid w:val="36D512A9"/>
    <w:rsid w:val="36E124AC"/>
    <w:rsid w:val="36F414F3"/>
    <w:rsid w:val="37002C93"/>
    <w:rsid w:val="370974B4"/>
    <w:rsid w:val="371E6151"/>
    <w:rsid w:val="372179E7"/>
    <w:rsid w:val="37277663"/>
    <w:rsid w:val="372A07F2"/>
    <w:rsid w:val="37357964"/>
    <w:rsid w:val="37446333"/>
    <w:rsid w:val="37446A77"/>
    <w:rsid w:val="374D0B20"/>
    <w:rsid w:val="378A731A"/>
    <w:rsid w:val="378E3617"/>
    <w:rsid w:val="37931A90"/>
    <w:rsid w:val="37A4082B"/>
    <w:rsid w:val="37A4627C"/>
    <w:rsid w:val="37A530D5"/>
    <w:rsid w:val="37AA1019"/>
    <w:rsid w:val="37B5292C"/>
    <w:rsid w:val="37BA6351"/>
    <w:rsid w:val="37C93B72"/>
    <w:rsid w:val="37F311D3"/>
    <w:rsid w:val="37F7242F"/>
    <w:rsid w:val="380579FE"/>
    <w:rsid w:val="380A2EB4"/>
    <w:rsid w:val="381D5340"/>
    <w:rsid w:val="381E2016"/>
    <w:rsid w:val="381E6750"/>
    <w:rsid w:val="382150C9"/>
    <w:rsid w:val="382372FE"/>
    <w:rsid w:val="38284CDE"/>
    <w:rsid w:val="382F19E6"/>
    <w:rsid w:val="383B2EED"/>
    <w:rsid w:val="3840644E"/>
    <w:rsid w:val="384C2D57"/>
    <w:rsid w:val="3857529F"/>
    <w:rsid w:val="385F47DB"/>
    <w:rsid w:val="38615004"/>
    <w:rsid w:val="386A1921"/>
    <w:rsid w:val="38876F05"/>
    <w:rsid w:val="38894DA5"/>
    <w:rsid w:val="38951902"/>
    <w:rsid w:val="38981AB5"/>
    <w:rsid w:val="38A40C18"/>
    <w:rsid w:val="38AB306B"/>
    <w:rsid w:val="38B370F3"/>
    <w:rsid w:val="38BF2270"/>
    <w:rsid w:val="38C33701"/>
    <w:rsid w:val="38C43916"/>
    <w:rsid w:val="38D05F26"/>
    <w:rsid w:val="38D124F5"/>
    <w:rsid w:val="38D504F4"/>
    <w:rsid w:val="38D95A84"/>
    <w:rsid w:val="38E11AA1"/>
    <w:rsid w:val="38E2401F"/>
    <w:rsid w:val="38E46191"/>
    <w:rsid w:val="38F347BA"/>
    <w:rsid w:val="38F50C85"/>
    <w:rsid w:val="390550E8"/>
    <w:rsid w:val="3913154C"/>
    <w:rsid w:val="392B6A4C"/>
    <w:rsid w:val="3931540E"/>
    <w:rsid w:val="393544DD"/>
    <w:rsid w:val="393962EC"/>
    <w:rsid w:val="39457868"/>
    <w:rsid w:val="394935B8"/>
    <w:rsid w:val="394C557A"/>
    <w:rsid w:val="3952190F"/>
    <w:rsid w:val="395753F2"/>
    <w:rsid w:val="395C1A7D"/>
    <w:rsid w:val="395C5A03"/>
    <w:rsid w:val="397E700C"/>
    <w:rsid w:val="39834074"/>
    <w:rsid w:val="39885108"/>
    <w:rsid w:val="39907940"/>
    <w:rsid w:val="399602F5"/>
    <w:rsid w:val="399B5B0D"/>
    <w:rsid w:val="39A05979"/>
    <w:rsid w:val="39BB78F7"/>
    <w:rsid w:val="39BC428E"/>
    <w:rsid w:val="39C46549"/>
    <w:rsid w:val="39CA1A60"/>
    <w:rsid w:val="39D27BBE"/>
    <w:rsid w:val="39D3749A"/>
    <w:rsid w:val="39DD49C2"/>
    <w:rsid w:val="39DD4ACE"/>
    <w:rsid w:val="39E46E0A"/>
    <w:rsid w:val="39E70CEA"/>
    <w:rsid w:val="39EB6BE7"/>
    <w:rsid w:val="39EC7454"/>
    <w:rsid w:val="39FD2FB3"/>
    <w:rsid w:val="3A1A155D"/>
    <w:rsid w:val="3A237175"/>
    <w:rsid w:val="3A335195"/>
    <w:rsid w:val="3A606DB1"/>
    <w:rsid w:val="3A711C68"/>
    <w:rsid w:val="3A796E46"/>
    <w:rsid w:val="3A8B3C77"/>
    <w:rsid w:val="3A9A224E"/>
    <w:rsid w:val="3A9C1F8C"/>
    <w:rsid w:val="3A9D2551"/>
    <w:rsid w:val="3AA15A8E"/>
    <w:rsid w:val="3AA97F70"/>
    <w:rsid w:val="3ABF42F5"/>
    <w:rsid w:val="3AE0503B"/>
    <w:rsid w:val="3AF20238"/>
    <w:rsid w:val="3AFD37D0"/>
    <w:rsid w:val="3B016EE9"/>
    <w:rsid w:val="3B075C4E"/>
    <w:rsid w:val="3B333CFE"/>
    <w:rsid w:val="3B3A132E"/>
    <w:rsid w:val="3B456D7F"/>
    <w:rsid w:val="3B4910F6"/>
    <w:rsid w:val="3B5A754F"/>
    <w:rsid w:val="3B5E261D"/>
    <w:rsid w:val="3B616FBE"/>
    <w:rsid w:val="3B6C0658"/>
    <w:rsid w:val="3B6F5B73"/>
    <w:rsid w:val="3B7B1D0B"/>
    <w:rsid w:val="3B873119"/>
    <w:rsid w:val="3B9422BB"/>
    <w:rsid w:val="3BA35FC1"/>
    <w:rsid w:val="3BA566FD"/>
    <w:rsid w:val="3BA7008A"/>
    <w:rsid w:val="3BB47D9F"/>
    <w:rsid w:val="3BDE5F43"/>
    <w:rsid w:val="3BF10AAD"/>
    <w:rsid w:val="3C031F31"/>
    <w:rsid w:val="3C042946"/>
    <w:rsid w:val="3C070D59"/>
    <w:rsid w:val="3C0E09BE"/>
    <w:rsid w:val="3C0F1954"/>
    <w:rsid w:val="3C1071B6"/>
    <w:rsid w:val="3C1E391D"/>
    <w:rsid w:val="3C294498"/>
    <w:rsid w:val="3C333216"/>
    <w:rsid w:val="3C36018F"/>
    <w:rsid w:val="3C4844B1"/>
    <w:rsid w:val="3C4F7D80"/>
    <w:rsid w:val="3C64689F"/>
    <w:rsid w:val="3C740DAA"/>
    <w:rsid w:val="3C7E65EC"/>
    <w:rsid w:val="3C812838"/>
    <w:rsid w:val="3C8555A2"/>
    <w:rsid w:val="3C9E3541"/>
    <w:rsid w:val="3C9E64A0"/>
    <w:rsid w:val="3CA15672"/>
    <w:rsid w:val="3CA41337"/>
    <w:rsid w:val="3CA95FB0"/>
    <w:rsid w:val="3CAA38C3"/>
    <w:rsid w:val="3CAC1109"/>
    <w:rsid w:val="3CB36CF4"/>
    <w:rsid w:val="3CBA78F5"/>
    <w:rsid w:val="3CBF7818"/>
    <w:rsid w:val="3CC26B63"/>
    <w:rsid w:val="3CCB3DAD"/>
    <w:rsid w:val="3CCC4D4D"/>
    <w:rsid w:val="3CCE40B6"/>
    <w:rsid w:val="3CD71E34"/>
    <w:rsid w:val="3CDE394C"/>
    <w:rsid w:val="3CE54B9F"/>
    <w:rsid w:val="3CF86E9C"/>
    <w:rsid w:val="3CFD37E7"/>
    <w:rsid w:val="3CFE44BF"/>
    <w:rsid w:val="3D013D2B"/>
    <w:rsid w:val="3D200D7C"/>
    <w:rsid w:val="3D272F24"/>
    <w:rsid w:val="3D47670E"/>
    <w:rsid w:val="3D58163A"/>
    <w:rsid w:val="3D5A05E2"/>
    <w:rsid w:val="3D5C63D4"/>
    <w:rsid w:val="3D5E50E6"/>
    <w:rsid w:val="3D691E20"/>
    <w:rsid w:val="3D7618FA"/>
    <w:rsid w:val="3D766E42"/>
    <w:rsid w:val="3D791797"/>
    <w:rsid w:val="3D8522AA"/>
    <w:rsid w:val="3D990197"/>
    <w:rsid w:val="3D9A0655"/>
    <w:rsid w:val="3DB17297"/>
    <w:rsid w:val="3DCD6921"/>
    <w:rsid w:val="3DD745F2"/>
    <w:rsid w:val="3DE37514"/>
    <w:rsid w:val="3DE548AC"/>
    <w:rsid w:val="3DE653F8"/>
    <w:rsid w:val="3DE72673"/>
    <w:rsid w:val="3DEB1255"/>
    <w:rsid w:val="3E0448CB"/>
    <w:rsid w:val="3E073B6A"/>
    <w:rsid w:val="3E0F25EA"/>
    <w:rsid w:val="3E0F3205"/>
    <w:rsid w:val="3E146F59"/>
    <w:rsid w:val="3E237BCC"/>
    <w:rsid w:val="3E251C1D"/>
    <w:rsid w:val="3E255AC9"/>
    <w:rsid w:val="3E33730D"/>
    <w:rsid w:val="3E3419DC"/>
    <w:rsid w:val="3E414A2B"/>
    <w:rsid w:val="3E4B2DC3"/>
    <w:rsid w:val="3E623E46"/>
    <w:rsid w:val="3E7A1C88"/>
    <w:rsid w:val="3E8B095A"/>
    <w:rsid w:val="3E8E6C82"/>
    <w:rsid w:val="3E943FDD"/>
    <w:rsid w:val="3E9A19C5"/>
    <w:rsid w:val="3EAC3BDD"/>
    <w:rsid w:val="3EB23A7C"/>
    <w:rsid w:val="3EB767A1"/>
    <w:rsid w:val="3ECF0F50"/>
    <w:rsid w:val="3ECF234A"/>
    <w:rsid w:val="3ED41752"/>
    <w:rsid w:val="3ED671CD"/>
    <w:rsid w:val="3EE14A57"/>
    <w:rsid w:val="3EE21263"/>
    <w:rsid w:val="3F144192"/>
    <w:rsid w:val="3F1E03E7"/>
    <w:rsid w:val="3F217DDA"/>
    <w:rsid w:val="3F441B08"/>
    <w:rsid w:val="3F473E52"/>
    <w:rsid w:val="3F4A4087"/>
    <w:rsid w:val="3F5361F5"/>
    <w:rsid w:val="3F69698A"/>
    <w:rsid w:val="3F7C5122"/>
    <w:rsid w:val="3F943DFF"/>
    <w:rsid w:val="3F952814"/>
    <w:rsid w:val="3FA41C63"/>
    <w:rsid w:val="3FAB3D87"/>
    <w:rsid w:val="3FAB41A2"/>
    <w:rsid w:val="3FAE47F6"/>
    <w:rsid w:val="3FB105F5"/>
    <w:rsid w:val="3FE210C1"/>
    <w:rsid w:val="3FEB1C22"/>
    <w:rsid w:val="3FED2E23"/>
    <w:rsid w:val="3FF44FD5"/>
    <w:rsid w:val="400A1CFC"/>
    <w:rsid w:val="403E5395"/>
    <w:rsid w:val="40400533"/>
    <w:rsid w:val="405A424E"/>
    <w:rsid w:val="406B6CE3"/>
    <w:rsid w:val="406D461C"/>
    <w:rsid w:val="406F7D87"/>
    <w:rsid w:val="40825FDB"/>
    <w:rsid w:val="40907287"/>
    <w:rsid w:val="409238E1"/>
    <w:rsid w:val="409238F2"/>
    <w:rsid w:val="40992F93"/>
    <w:rsid w:val="40AB3054"/>
    <w:rsid w:val="40B467F7"/>
    <w:rsid w:val="40BD153A"/>
    <w:rsid w:val="40C3250A"/>
    <w:rsid w:val="40C72A69"/>
    <w:rsid w:val="40CD7BD8"/>
    <w:rsid w:val="40CE24AF"/>
    <w:rsid w:val="40D07371"/>
    <w:rsid w:val="40D72999"/>
    <w:rsid w:val="40DF3ABC"/>
    <w:rsid w:val="40E87142"/>
    <w:rsid w:val="40F00A85"/>
    <w:rsid w:val="40F1013C"/>
    <w:rsid w:val="41053DED"/>
    <w:rsid w:val="412506DF"/>
    <w:rsid w:val="413B1BAB"/>
    <w:rsid w:val="413C43E0"/>
    <w:rsid w:val="414F41D7"/>
    <w:rsid w:val="414F7342"/>
    <w:rsid w:val="414F7876"/>
    <w:rsid w:val="415800BF"/>
    <w:rsid w:val="415A0FEF"/>
    <w:rsid w:val="41653B51"/>
    <w:rsid w:val="416C15E7"/>
    <w:rsid w:val="416E039C"/>
    <w:rsid w:val="4171294E"/>
    <w:rsid w:val="417B11A7"/>
    <w:rsid w:val="41800377"/>
    <w:rsid w:val="418B26ED"/>
    <w:rsid w:val="41986119"/>
    <w:rsid w:val="41A63744"/>
    <w:rsid w:val="41AC6BA3"/>
    <w:rsid w:val="41AD5F07"/>
    <w:rsid w:val="41B63A42"/>
    <w:rsid w:val="41B730A3"/>
    <w:rsid w:val="41B737E0"/>
    <w:rsid w:val="41B77B6D"/>
    <w:rsid w:val="41D1580B"/>
    <w:rsid w:val="41D57639"/>
    <w:rsid w:val="41DC5EDF"/>
    <w:rsid w:val="41DD05DE"/>
    <w:rsid w:val="41E4117E"/>
    <w:rsid w:val="41F24303"/>
    <w:rsid w:val="41F52080"/>
    <w:rsid w:val="41F94D40"/>
    <w:rsid w:val="420850A2"/>
    <w:rsid w:val="42294221"/>
    <w:rsid w:val="422E207E"/>
    <w:rsid w:val="424A277B"/>
    <w:rsid w:val="42515DF8"/>
    <w:rsid w:val="42571AE1"/>
    <w:rsid w:val="42697E79"/>
    <w:rsid w:val="42730E0D"/>
    <w:rsid w:val="427352EC"/>
    <w:rsid w:val="427409B9"/>
    <w:rsid w:val="42831021"/>
    <w:rsid w:val="42873CB7"/>
    <w:rsid w:val="428D595A"/>
    <w:rsid w:val="42A87389"/>
    <w:rsid w:val="42B63D6B"/>
    <w:rsid w:val="42D52663"/>
    <w:rsid w:val="42D67001"/>
    <w:rsid w:val="42DC7EEC"/>
    <w:rsid w:val="42E06A10"/>
    <w:rsid w:val="43100136"/>
    <w:rsid w:val="43112BE5"/>
    <w:rsid w:val="431B56C6"/>
    <w:rsid w:val="431C7B04"/>
    <w:rsid w:val="432E5E21"/>
    <w:rsid w:val="433C41B8"/>
    <w:rsid w:val="433D2335"/>
    <w:rsid w:val="43445D4A"/>
    <w:rsid w:val="4359073D"/>
    <w:rsid w:val="43610B50"/>
    <w:rsid w:val="4363090C"/>
    <w:rsid w:val="436A2192"/>
    <w:rsid w:val="436E5613"/>
    <w:rsid w:val="438B6310"/>
    <w:rsid w:val="439C3431"/>
    <w:rsid w:val="439D0E7C"/>
    <w:rsid w:val="43A26A83"/>
    <w:rsid w:val="43C274A8"/>
    <w:rsid w:val="43D67A91"/>
    <w:rsid w:val="43E21F58"/>
    <w:rsid w:val="43E30134"/>
    <w:rsid w:val="43E35EF0"/>
    <w:rsid w:val="43F76F69"/>
    <w:rsid w:val="43F80A53"/>
    <w:rsid w:val="43FC0DB2"/>
    <w:rsid w:val="43FE19F9"/>
    <w:rsid w:val="444109FB"/>
    <w:rsid w:val="444E22EA"/>
    <w:rsid w:val="44584267"/>
    <w:rsid w:val="44623D95"/>
    <w:rsid w:val="446512CF"/>
    <w:rsid w:val="44705173"/>
    <w:rsid w:val="44740841"/>
    <w:rsid w:val="4476407C"/>
    <w:rsid w:val="447B4A66"/>
    <w:rsid w:val="447D4136"/>
    <w:rsid w:val="447F7082"/>
    <w:rsid w:val="448B5845"/>
    <w:rsid w:val="448C73DD"/>
    <w:rsid w:val="44907237"/>
    <w:rsid w:val="44953801"/>
    <w:rsid w:val="449D7968"/>
    <w:rsid w:val="44B53006"/>
    <w:rsid w:val="44BA1648"/>
    <w:rsid w:val="44BB150F"/>
    <w:rsid w:val="44BF2326"/>
    <w:rsid w:val="44C87C0F"/>
    <w:rsid w:val="44DF530B"/>
    <w:rsid w:val="44DF6F1B"/>
    <w:rsid w:val="44F3735F"/>
    <w:rsid w:val="45057AE8"/>
    <w:rsid w:val="45185C1C"/>
    <w:rsid w:val="45385EDA"/>
    <w:rsid w:val="453C2F6A"/>
    <w:rsid w:val="45446179"/>
    <w:rsid w:val="454E4F75"/>
    <w:rsid w:val="454E6B7A"/>
    <w:rsid w:val="4551463D"/>
    <w:rsid w:val="456C4CA4"/>
    <w:rsid w:val="457736FF"/>
    <w:rsid w:val="45790DCE"/>
    <w:rsid w:val="457949A0"/>
    <w:rsid w:val="457E31A2"/>
    <w:rsid w:val="458B757C"/>
    <w:rsid w:val="458D354F"/>
    <w:rsid w:val="45917B8A"/>
    <w:rsid w:val="459F2381"/>
    <w:rsid w:val="45A663F1"/>
    <w:rsid w:val="45B223ED"/>
    <w:rsid w:val="45B64B84"/>
    <w:rsid w:val="45CC6CFD"/>
    <w:rsid w:val="45D52AA4"/>
    <w:rsid w:val="45E526A6"/>
    <w:rsid w:val="45E826B2"/>
    <w:rsid w:val="45F4334C"/>
    <w:rsid w:val="46037BF1"/>
    <w:rsid w:val="46197DFB"/>
    <w:rsid w:val="46466453"/>
    <w:rsid w:val="4662020E"/>
    <w:rsid w:val="4671651F"/>
    <w:rsid w:val="46787358"/>
    <w:rsid w:val="467A6815"/>
    <w:rsid w:val="468A27AC"/>
    <w:rsid w:val="468F0FCE"/>
    <w:rsid w:val="46981A1E"/>
    <w:rsid w:val="46987D2F"/>
    <w:rsid w:val="46995896"/>
    <w:rsid w:val="469D5DE8"/>
    <w:rsid w:val="46A35C12"/>
    <w:rsid w:val="46A55B0E"/>
    <w:rsid w:val="46A82992"/>
    <w:rsid w:val="46AD7A54"/>
    <w:rsid w:val="46B419BE"/>
    <w:rsid w:val="46B640D3"/>
    <w:rsid w:val="46CD1F17"/>
    <w:rsid w:val="46D67289"/>
    <w:rsid w:val="46DD1D17"/>
    <w:rsid w:val="46DE7B35"/>
    <w:rsid w:val="46E1018C"/>
    <w:rsid w:val="46E53AB0"/>
    <w:rsid w:val="46F37479"/>
    <w:rsid w:val="46FC2FE8"/>
    <w:rsid w:val="47033281"/>
    <w:rsid w:val="47065799"/>
    <w:rsid w:val="47073BE8"/>
    <w:rsid w:val="47187722"/>
    <w:rsid w:val="47230376"/>
    <w:rsid w:val="47333B1B"/>
    <w:rsid w:val="47351654"/>
    <w:rsid w:val="4737327D"/>
    <w:rsid w:val="473D0BD8"/>
    <w:rsid w:val="47457188"/>
    <w:rsid w:val="474C102E"/>
    <w:rsid w:val="474E174B"/>
    <w:rsid w:val="47555092"/>
    <w:rsid w:val="47666951"/>
    <w:rsid w:val="47683159"/>
    <w:rsid w:val="477208BD"/>
    <w:rsid w:val="479D7800"/>
    <w:rsid w:val="47A12538"/>
    <w:rsid w:val="47AD5113"/>
    <w:rsid w:val="47BC3466"/>
    <w:rsid w:val="47D30FC3"/>
    <w:rsid w:val="47DD6A91"/>
    <w:rsid w:val="47EB0853"/>
    <w:rsid w:val="47F0198A"/>
    <w:rsid w:val="47FA20F9"/>
    <w:rsid w:val="47FF3A74"/>
    <w:rsid w:val="480B7A59"/>
    <w:rsid w:val="48111DC2"/>
    <w:rsid w:val="48156BFB"/>
    <w:rsid w:val="481C2840"/>
    <w:rsid w:val="482B39B5"/>
    <w:rsid w:val="482D350F"/>
    <w:rsid w:val="483C2A8C"/>
    <w:rsid w:val="48424FA1"/>
    <w:rsid w:val="484647AE"/>
    <w:rsid w:val="484F1901"/>
    <w:rsid w:val="48594C05"/>
    <w:rsid w:val="485D5413"/>
    <w:rsid w:val="48740F16"/>
    <w:rsid w:val="48850976"/>
    <w:rsid w:val="48894882"/>
    <w:rsid w:val="48942964"/>
    <w:rsid w:val="489B4431"/>
    <w:rsid w:val="489F0500"/>
    <w:rsid w:val="489F0E5C"/>
    <w:rsid w:val="48A36B1C"/>
    <w:rsid w:val="48A76BEF"/>
    <w:rsid w:val="48AF255D"/>
    <w:rsid w:val="48B16C29"/>
    <w:rsid w:val="48B305F1"/>
    <w:rsid w:val="48B379BF"/>
    <w:rsid w:val="48B470F8"/>
    <w:rsid w:val="48C72E35"/>
    <w:rsid w:val="48C82BD7"/>
    <w:rsid w:val="48CC60B5"/>
    <w:rsid w:val="48D9514F"/>
    <w:rsid w:val="48DC218B"/>
    <w:rsid w:val="48E041C5"/>
    <w:rsid w:val="48F447F8"/>
    <w:rsid w:val="49075A63"/>
    <w:rsid w:val="490933FA"/>
    <w:rsid w:val="49224F55"/>
    <w:rsid w:val="49241D45"/>
    <w:rsid w:val="4935171C"/>
    <w:rsid w:val="49366254"/>
    <w:rsid w:val="49432B91"/>
    <w:rsid w:val="494502AA"/>
    <w:rsid w:val="495C3370"/>
    <w:rsid w:val="496409A2"/>
    <w:rsid w:val="49707759"/>
    <w:rsid w:val="49715E0F"/>
    <w:rsid w:val="49927DFC"/>
    <w:rsid w:val="4995554E"/>
    <w:rsid w:val="499B3646"/>
    <w:rsid w:val="499C3504"/>
    <w:rsid w:val="49A43EE6"/>
    <w:rsid w:val="49AB3DB8"/>
    <w:rsid w:val="49AF63D0"/>
    <w:rsid w:val="49B4201A"/>
    <w:rsid w:val="49C20C6C"/>
    <w:rsid w:val="49C920EF"/>
    <w:rsid w:val="49CE0C89"/>
    <w:rsid w:val="49D93C20"/>
    <w:rsid w:val="49DA3FD3"/>
    <w:rsid w:val="4A0573EC"/>
    <w:rsid w:val="4A06116C"/>
    <w:rsid w:val="4A070E8E"/>
    <w:rsid w:val="4A09499E"/>
    <w:rsid w:val="4A096C36"/>
    <w:rsid w:val="4A10565E"/>
    <w:rsid w:val="4A13060B"/>
    <w:rsid w:val="4A1D7E57"/>
    <w:rsid w:val="4A381BA6"/>
    <w:rsid w:val="4A3926E2"/>
    <w:rsid w:val="4A4172CE"/>
    <w:rsid w:val="4A43236C"/>
    <w:rsid w:val="4A4A176A"/>
    <w:rsid w:val="4A630372"/>
    <w:rsid w:val="4A6C0FC7"/>
    <w:rsid w:val="4A6D7FF3"/>
    <w:rsid w:val="4A7413BF"/>
    <w:rsid w:val="4A7D09F3"/>
    <w:rsid w:val="4A7D553B"/>
    <w:rsid w:val="4A840EFE"/>
    <w:rsid w:val="4A98729A"/>
    <w:rsid w:val="4AA75186"/>
    <w:rsid w:val="4ABC0CF4"/>
    <w:rsid w:val="4AC4256B"/>
    <w:rsid w:val="4AC860DD"/>
    <w:rsid w:val="4AD162A8"/>
    <w:rsid w:val="4AD25C89"/>
    <w:rsid w:val="4AD768C6"/>
    <w:rsid w:val="4AE72EB0"/>
    <w:rsid w:val="4AEF36DB"/>
    <w:rsid w:val="4AF902F5"/>
    <w:rsid w:val="4AF94D42"/>
    <w:rsid w:val="4B09573E"/>
    <w:rsid w:val="4B376E2E"/>
    <w:rsid w:val="4B385AE2"/>
    <w:rsid w:val="4B53122B"/>
    <w:rsid w:val="4B705844"/>
    <w:rsid w:val="4B7224D0"/>
    <w:rsid w:val="4B7A3C96"/>
    <w:rsid w:val="4B7D4F5D"/>
    <w:rsid w:val="4B82716C"/>
    <w:rsid w:val="4B8A2918"/>
    <w:rsid w:val="4B901807"/>
    <w:rsid w:val="4B9B25E4"/>
    <w:rsid w:val="4BAD4CA2"/>
    <w:rsid w:val="4BC456EF"/>
    <w:rsid w:val="4BC647B0"/>
    <w:rsid w:val="4BDF3EB4"/>
    <w:rsid w:val="4BDF4B49"/>
    <w:rsid w:val="4BE278B5"/>
    <w:rsid w:val="4BE57E16"/>
    <w:rsid w:val="4BE819D0"/>
    <w:rsid w:val="4BE8649D"/>
    <w:rsid w:val="4BF86642"/>
    <w:rsid w:val="4C0236B4"/>
    <w:rsid w:val="4C062DD7"/>
    <w:rsid w:val="4C192F75"/>
    <w:rsid w:val="4C1E085C"/>
    <w:rsid w:val="4C20259F"/>
    <w:rsid w:val="4C25666D"/>
    <w:rsid w:val="4C312ECF"/>
    <w:rsid w:val="4C422CA7"/>
    <w:rsid w:val="4C5035A1"/>
    <w:rsid w:val="4C5F0B5D"/>
    <w:rsid w:val="4C64471A"/>
    <w:rsid w:val="4C77619E"/>
    <w:rsid w:val="4C860543"/>
    <w:rsid w:val="4C8E48D8"/>
    <w:rsid w:val="4C974009"/>
    <w:rsid w:val="4CC17C3E"/>
    <w:rsid w:val="4CC42462"/>
    <w:rsid w:val="4CCD5921"/>
    <w:rsid w:val="4CD14F28"/>
    <w:rsid w:val="4CD550D5"/>
    <w:rsid w:val="4CDA21DD"/>
    <w:rsid w:val="4CF04CFC"/>
    <w:rsid w:val="4CF26BC3"/>
    <w:rsid w:val="4CFB51DB"/>
    <w:rsid w:val="4D044827"/>
    <w:rsid w:val="4D0F1680"/>
    <w:rsid w:val="4D130357"/>
    <w:rsid w:val="4D1D6CA0"/>
    <w:rsid w:val="4D2609C6"/>
    <w:rsid w:val="4D2F5C2A"/>
    <w:rsid w:val="4D33448A"/>
    <w:rsid w:val="4D3A111C"/>
    <w:rsid w:val="4D3F4840"/>
    <w:rsid w:val="4D410392"/>
    <w:rsid w:val="4D427BBD"/>
    <w:rsid w:val="4D570519"/>
    <w:rsid w:val="4D5C5732"/>
    <w:rsid w:val="4D656800"/>
    <w:rsid w:val="4D705706"/>
    <w:rsid w:val="4D762288"/>
    <w:rsid w:val="4D8D11C1"/>
    <w:rsid w:val="4D922BF5"/>
    <w:rsid w:val="4D9B5A29"/>
    <w:rsid w:val="4DA03B86"/>
    <w:rsid w:val="4DA53BC8"/>
    <w:rsid w:val="4DB41824"/>
    <w:rsid w:val="4DC31B92"/>
    <w:rsid w:val="4DC47806"/>
    <w:rsid w:val="4DC73C36"/>
    <w:rsid w:val="4DD776ED"/>
    <w:rsid w:val="4DDF6E13"/>
    <w:rsid w:val="4DE60E50"/>
    <w:rsid w:val="4DF20FEE"/>
    <w:rsid w:val="4DFB4BCD"/>
    <w:rsid w:val="4DFE1B63"/>
    <w:rsid w:val="4E0939E5"/>
    <w:rsid w:val="4E0A6290"/>
    <w:rsid w:val="4E176DF3"/>
    <w:rsid w:val="4E1A2F68"/>
    <w:rsid w:val="4E210A5C"/>
    <w:rsid w:val="4E313D0F"/>
    <w:rsid w:val="4E374BFB"/>
    <w:rsid w:val="4E3A2C21"/>
    <w:rsid w:val="4E4475F5"/>
    <w:rsid w:val="4E587463"/>
    <w:rsid w:val="4E68543B"/>
    <w:rsid w:val="4E694E99"/>
    <w:rsid w:val="4E795FE9"/>
    <w:rsid w:val="4E797F06"/>
    <w:rsid w:val="4E876FE9"/>
    <w:rsid w:val="4E904370"/>
    <w:rsid w:val="4E9F5613"/>
    <w:rsid w:val="4EAC241A"/>
    <w:rsid w:val="4EB67945"/>
    <w:rsid w:val="4ECA2CB3"/>
    <w:rsid w:val="4ECF2BEC"/>
    <w:rsid w:val="4EE61722"/>
    <w:rsid w:val="4EE86D63"/>
    <w:rsid w:val="4EEC3838"/>
    <w:rsid w:val="4EEE11A3"/>
    <w:rsid w:val="4EFE4EC2"/>
    <w:rsid w:val="4EFF3444"/>
    <w:rsid w:val="4F0441E5"/>
    <w:rsid w:val="4F075A64"/>
    <w:rsid w:val="4F155F27"/>
    <w:rsid w:val="4F1A238F"/>
    <w:rsid w:val="4F295433"/>
    <w:rsid w:val="4F3D4163"/>
    <w:rsid w:val="4F4F78AE"/>
    <w:rsid w:val="4F50208E"/>
    <w:rsid w:val="4F584C20"/>
    <w:rsid w:val="4F7278C6"/>
    <w:rsid w:val="4F7D6955"/>
    <w:rsid w:val="4F804365"/>
    <w:rsid w:val="4F823D55"/>
    <w:rsid w:val="4F85034E"/>
    <w:rsid w:val="4F983E33"/>
    <w:rsid w:val="4F9B5328"/>
    <w:rsid w:val="4FAB3627"/>
    <w:rsid w:val="4FB40C2C"/>
    <w:rsid w:val="4FBA52BE"/>
    <w:rsid w:val="4FBB5569"/>
    <w:rsid w:val="4FBF1E32"/>
    <w:rsid w:val="4FC803AA"/>
    <w:rsid w:val="4FD365FC"/>
    <w:rsid w:val="4FD62D61"/>
    <w:rsid w:val="4FDC6418"/>
    <w:rsid w:val="4FE15781"/>
    <w:rsid w:val="4FE3603D"/>
    <w:rsid w:val="4FF5506D"/>
    <w:rsid w:val="4FFF3806"/>
    <w:rsid w:val="50046739"/>
    <w:rsid w:val="50095827"/>
    <w:rsid w:val="50100572"/>
    <w:rsid w:val="50186BF6"/>
    <w:rsid w:val="501D3D62"/>
    <w:rsid w:val="502B3674"/>
    <w:rsid w:val="502C4247"/>
    <w:rsid w:val="502D25A0"/>
    <w:rsid w:val="50347D28"/>
    <w:rsid w:val="503D5373"/>
    <w:rsid w:val="504261AC"/>
    <w:rsid w:val="505F1426"/>
    <w:rsid w:val="5060406F"/>
    <w:rsid w:val="50607726"/>
    <w:rsid w:val="506309DB"/>
    <w:rsid w:val="506416B6"/>
    <w:rsid w:val="50752AF6"/>
    <w:rsid w:val="508431ED"/>
    <w:rsid w:val="509F1AB5"/>
    <w:rsid w:val="50AC0F46"/>
    <w:rsid w:val="50B139BD"/>
    <w:rsid w:val="50BD1498"/>
    <w:rsid w:val="50BE1B1D"/>
    <w:rsid w:val="50C51F05"/>
    <w:rsid w:val="50C65E30"/>
    <w:rsid w:val="50D2177F"/>
    <w:rsid w:val="50D228CF"/>
    <w:rsid w:val="50E63519"/>
    <w:rsid w:val="50ED76FB"/>
    <w:rsid w:val="50EE0687"/>
    <w:rsid w:val="51187610"/>
    <w:rsid w:val="51191CC9"/>
    <w:rsid w:val="512842D1"/>
    <w:rsid w:val="51375EB3"/>
    <w:rsid w:val="513853CC"/>
    <w:rsid w:val="51392D77"/>
    <w:rsid w:val="513F081D"/>
    <w:rsid w:val="51431686"/>
    <w:rsid w:val="514A37B3"/>
    <w:rsid w:val="514C1E16"/>
    <w:rsid w:val="51556F97"/>
    <w:rsid w:val="515A64E3"/>
    <w:rsid w:val="515C30A6"/>
    <w:rsid w:val="5161698E"/>
    <w:rsid w:val="517F00BC"/>
    <w:rsid w:val="518F6BB3"/>
    <w:rsid w:val="51914126"/>
    <w:rsid w:val="5195533B"/>
    <w:rsid w:val="519D2F03"/>
    <w:rsid w:val="51A1385A"/>
    <w:rsid w:val="51BE2EAE"/>
    <w:rsid w:val="51DA5890"/>
    <w:rsid w:val="51EE7B3E"/>
    <w:rsid w:val="51F473EF"/>
    <w:rsid w:val="51F96848"/>
    <w:rsid w:val="51FE4A3E"/>
    <w:rsid w:val="51FF74A3"/>
    <w:rsid w:val="52073487"/>
    <w:rsid w:val="52181832"/>
    <w:rsid w:val="521C5D43"/>
    <w:rsid w:val="521D7ED7"/>
    <w:rsid w:val="5239194F"/>
    <w:rsid w:val="523E51A9"/>
    <w:rsid w:val="524F3BEF"/>
    <w:rsid w:val="52521FD5"/>
    <w:rsid w:val="52612620"/>
    <w:rsid w:val="526A546C"/>
    <w:rsid w:val="52790FD9"/>
    <w:rsid w:val="528C5E23"/>
    <w:rsid w:val="52971FBA"/>
    <w:rsid w:val="529F0D9B"/>
    <w:rsid w:val="52B41753"/>
    <w:rsid w:val="52B76FD3"/>
    <w:rsid w:val="52CA3D8F"/>
    <w:rsid w:val="52CD21D8"/>
    <w:rsid w:val="52CD6315"/>
    <w:rsid w:val="52CF0A4A"/>
    <w:rsid w:val="52DD5B35"/>
    <w:rsid w:val="52DF42EC"/>
    <w:rsid w:val="52E121DC"/>
    <w:rsid w:val="52E427EA"/>
    <w:rsid w:val="52EA3D63"/>
    <w:rsid w:val="52ED6986"/>
    <w:rsid w:val="52EF0051"/>
    <w:rsid w:val="52FC1C88"/>
    <w:rsid w:val="5301710F"/>
    <w:rsid w:val="53112C1D"/>
    <w:rsid w:val="53155215"/>
    <w:rsid w:val="531621BA"/>
    <w:rsid w:val="531D0F10"/>
    <w:rsid w:val="531F319F"/>
    <w:rsid w:val="533E0346"/>
    <w:rsid w:val="534246C3"/>
    <w:rsid w:val="5345086D"/>
    <w:rsid w:val="53495ACD"/>
    <w:rsid w:val="53500177"/>
    <w:rsid w:val="535337EC"/>
    <w:rsid w:val="53556970"/>
    <w:rsid w:val="53557FDB"/>
    <w:rsid w:val="5366542B"/>
    <w:rsid w:val="536D41AE"/>
    <w:rsid w:val="536F7573"/>
    <w:rsid w:val="53763151"/>
    <w:rsid w:val="53794E20"/>
    <w:rsid w:val="537E6FEF"/>
    <w:rsid w:val="5391597D"/>
    <w:rsid w:val="53931DC4"/>
    <w:rsid w:val="53943B08"/>
    <w:rsid w:val="53947DE7"/>
    <w:rsid w:val="53A27D95"/>
    <w:rsid w:val="53A911A1"/>
    <w:rsid w:val="53AE3B29"/>
    <w:rsid w:val="53C0313A"/>
    <w:rsid w:val="53D6650D"/>
    <w:rsid w:val="53DB35A3"/>
    <w:rsid w:val="53DC2808"/>
    <w:rsid w:val="53E07B00"/>
    <w:rsid w:val="54002BFD"/>
    <w:rsid w:val="54067315"/>
    <w:rsid w:val="542A5504"/>
    <w:rsid w:val="542F7A60"/>
    <w:rsid w:val="543858B4"/>
    <w:rsid w:val="54550067"/>
    <w:rsid w:val="54580F5A"/>
    <w:rsid w:val="5478695B"/>
    <w:rsid w:val="54860559"/>
    <w:rsid w:val="548810E8"/>
    <w:rsid w:val="549438A5"/>
    <w:rsid w:val="549C6534"/>
    <w:rsid w:val="54A14490"/>
    <w:rsid w:val="54AB36A1"/>
    <w:rsid w:val="54B171C4"/>
    <w:rsid w:val="54B62C99"/>
    <w:rsid w:val="54DF688B"/>
    <w:rsid w:val="54E95643"/>
    <w:rsid w:val="54F21E93"/>
    <w:rsid w:val="550E6C32"/>
    <w:rsid w:val="554C3433"/>
    <w:rsid w:val="554E0863"/>
    <w:rsid w:val="555737A6"/>
    <w:rsid w:val="55611FED"/>
    <w:rsid w:val="556C1CC4"/>
    <w:rsid w:val="55712540"/>
    <w:rsid w:val="55776130"/>
    <w:rsid w:val="5577741D"/>
    <w:rsid w:val="558126EC"/>
    <w:rsid w:val="55883669"/>
    <w:rsid w:val="558A44CE"/>
    <w:rsid w:val="559537DA"/>
    <w:rsid w:val="55B403DD"/>
    <w:rsid w:val="55BC788E"/>
    <w:rsid w:val="55C0140E"/>
    <w:rsid w:val="55CF48E7"/>
    <w:rsid w:val="55D0342A"/>
    <w:rsid w:val="55D849A1"/>
    <w:rsid w:val="55E31A15"/>
    <w:rsid w:val="55E5367A"/>
    <w:rsid w:val="55F03258"/>
    <w:rsid w:val="55F60D05"/>
    <w:rsid w:val="560D0118"/>
    <w:rsid w:val="56214A7B"/>
    <w:rsid w:val="562E1F90"/>
    <w:rsid w:val="56373380"/>
    <w:rsid w:val="563B616D"/>
    <w:rsid w:val="56436207"/>
    <w:rsid w:val="566510CB"/>
    <w:rsid w:val="567215D4"/>
    <w:rsid w:val="56786B34"/>
    <w:rsid w:val="567A6CC0"/>
    <w:rsid w:val="568D0940"/>
    <w:rsid w:val="56927DA4"/>
    <w:rsid w:val="56A04928"/>
    <w:rsid w:val="56A50EBB"/>
    <w:rsid w:val="56AD339E"/>
    <w:rsid w:val="56B16CBD"/>
    <w:rsid w:val="56B96F66"/>
    <w:rsid w:val="56BE56FA"/>
    <w:rsid w:val="56BE75C0"/>
    <w:rsid w:val="56C71CAD"/>
    <w:rsid w:val="56CE5F20"/>
    <w:rsid w:val="56DA3EBA"/>
    <w:rsid w:val="56E33383"/>
    <w:rsid w:val="56E53553"/>
    <w:rsid w:val="56ED5E03"/>
    <w:rsid w:val="56FB0134"/>
    <w:rsid w:val="57012351"/>
    <w:rsid w:val="57016F99"/>
    <w:rsid w:val="57091024"/>
    <w:rsid w:val="57095761"/>
    <w:rsid w:val="57281C9E"/>
    <w:rsid w:val="57292292"/>
    <w:rsid w:val="572E7E52"/>
    <w:rsid w:val="573403E6"/>
    <w:rsid w:val="573459F0"/>
    <w:rsid w:val="573B3910"/>
    <w:rsid w:val="574460A0"/>
    <w:rsid w:val="57484376"/>
    <w:rsid w:val="574B4B12"/>
    <w:rsid w:val="57521AF7"/>
    <w:rsid w:val="575425F9"/>
    <w:rsid w:val="57702374"/>
    <w:rsid w:val="57780ED4"/>
    <w:rsid w:val="579A7C07"/>
    <w:rsid w:val="57A41DBC"/>
    <w:rsid w:val="57A46FEE"/>
    <w:rsid w:val="57B02763"/>
    <w:rsid w:val="57B6547E"/>
    <w:rsid w:val="57D01AAC"/>
    <w:rsid w:val="57D06799"/>
    <w:rsid w:val="57DF6500"/>
    <w:rsid w:val="57E73B61"/>
    <w:rsid w:val="57EB2049"/>
    <w:rsid w:val="57F01737"/>
    <w:rsid w:val="57F73696"/>
    <w:rsid w:val="5803475B"/>
    <w:rsid w:val="580A6FBE"/>
    <w:rsid w:val="580F5BC1"/>
    <w:rsid w:val="5822786C"/>
    <w:rsid w:val="58243371"/>
    <w:rsid w:val="5835010B"/>
    <w:rsid w:val="584D4E44"/>
    <w:rsid w:val="58590DD2"/>
    <w:rsid w:val="585E005E"/>
    <w:rsid w:val="5860138B"/>
    <w:rsid w:val="586E1447"/>
    <w:rsid w:val="586F2F6A"/>
    <w:rsid w:val="5878285F"/>
    <w:rsid w:val="587E2D46"/>
    <w:rsid w:val="58817C26"/>
    <w:rsid w:val="588509DD"/>
    <w:rsid w:val="58953B9F"/>
    <w:rsid w:val="58957A8C"/>
    <w:rsid w:val="589C0BA1"/>
    <w:rsid w:val="589F18E4"/>
    <w:rsid w:val="58A26665"/>
    <w:rsid w:val="58B156C4"/>
    <w:rsid w:val="58B8443B"/>
    <w:rsid w:val="58B908D6"/>
    <w:rsid w:val="58BC4002"/>
    <w:rsid w:val="58CC6D6B"/>
    <w:rsid w:val="58D63464"/>
    <w:rsid w:val="58DB456A"/>
    <w:rsid w:val="58E909DD"/>
    <w:rsid w:val="58EB1C90"/>
    <w:rsid w:val="58F57D12"/>
    <w:rsid w:val="59267EF0"/>
    <w:rsid w:val="59421F7E"/>
    <w:rsid w:val="59424509"/>
    <w:rsid w:val="594935F2"/>
    <w:rsid w:val="595B7991"/>
    <w:rsid w:val="595C0946"/>
    <w:rsid w:val="595E24A3"/>
    <w:rsid w:val="59604A5E"/>
    <w:rsid w:val="59642A7A"/>
    <w:rsid w:val="596D32B4"/>
    <w:rsid w:val="59713918"/>
    <w:rsid w:val="59774D3E"/>
    <w:rsid w:val="599148CE"/>
    <w:rsid w:val="59915DC3"/>
    <w:rsid w:val="59A24ED6"/>
    <w:rsid w:val="59AF0514"/>
    <w:rsid w:val="59B64AF3"/>
    <w:rsid w:val="59B6531E"/>
    <w:rsid w:val="59B75E8A"/>
    <w:rsid w:val="59BC0F73"/>
    <w:rsid w:val="59BD2911"/>
    <w:rsid w:val="59BE1CC3"/>
    <w:rsid w:val="59C13A26"/>
    <w:rsid w:val="59D906FD"/>
    <w:rsid w:val="59DA6C9E"/>
    <w:rsid w:val="59E11C9B"/>
    <w:rsid w:val="59EB0D06"/>
    <w:rsid w:val="59F511B7"/>
    <w:rsid w:val="59F76978"/>
    <w:rsid w:val="59FF2F18"/>
    <w:rsid w:val="5A0640DE"/>
    <w:rsid w:val="5A1215B1"/>
    <w:rsid w:val="5A1D0AF2"/>
    <w:rsid w:val="5A1F5196"/>
    <w:rsid w:val="5A227353"/>
    <w:rsid w:val="5A2D0557"/>
    <w:rsid w:val="5A2E4BBE"/>
    <w:rsid w:val="5A340B09"/>
    <w:rsid w:val="5A3E02F2"/>
    <w:rsid w:val="5A3F3527"/>
    <w:rsid w:val="5A440B9D"/>
    <w:rsid w:val="5A5009C0"/>
    <w:rsid w:val="5A5128C3"/>
    <w:rsid w:val="5A575C31"/>
    <w:rsid w:val="5A5C7772"/>
    <w:rsid w:val="5A6336A1"/>
    <w:rsid w:val="5A6B7C88"/>
    <w:rsid w:val="5A73612A"/>
    <w:rsid w:val="5A7941A5"/>
    <w:rsid w:val="5A896627"/>
    <w:rsid w:val="5A90223F"/>
    <w:rsid w:val="5AA541CF"/>
    <w:rsid w:val="5AAF48E4"/>
    <w:rsid w:val="5AB96041"/>
    <w:rsid w:val="5ABC4831"/>
    <w:rsid w:val="5ABC6BFA"/>
    <w:rsid w:val="5AD510F0"/>
    <w:rsid w:val="5AF82FCA"/>
    <w:rsid w:val="5AF8657A"/>
    <w:rsid w:val="5B000850"/>
    <w:rsid w:val="5B187495"/>
    <w:rsid w:val="5B1B10FA"/>
    <w:rsid w:val="5B1B2E96"/>
    <w:rsid w:val="5B1B5003"/>
    <w:rsid w:val="5B225A79"/>
    <w:rsid w:val="5B2445B5"/>
    <w:rsid w:val="5B290C46"/>
    <w:rsid w:val="5B492D29"/>
    <w:rsid w:val="5B532679"/>
    <w:rsid w:val="5B5B64C5"/>
    <w:rsid w:val="5B627DC7"/>
    <w:rsid w:val="5B6C5737"/>
    <w:rsid w:val="5B76668C"/>
    <w:rsid w:val="5B8657DA"/>
    <w:rsid w:val="5B896F76"/>
    <w:rsid w:val="5B906344"/>
    <w:rsid w:val="5B975E5B"/>
    <w:rsid w:val="5B9B477C"/>
    <w:rsid w:val="5B9C0984"/>
    <w:rsid w:val="5BA3762B"/>
    <w:rsid w:val="5BB214B7"/>
    <w:rsid w:val="5BBE6EBD"/>
    <w:rsid w:val="5BC113DA"/>
    <w:rsid w:val="5BD41880"/>
    <w:rsid w:val="5BE23D1E"/>
    <w:rsid w:val="5BE24CD9"/>
    <w:rsid w:val="5BE50680"/>
    <w:rsid w:val="5BE52EE1"/>
    <w:rsid w:val="5BEA2231"/>
    <w:rsid w:val="5BF23EBC"/>
    <w:rsid w:val="5BF44994"/>
    <w:rsid w:val="5BF65E64"/>
    <w:rsid w:val="5BFD4032"/>
    <w:rsid w:val="5C087355"/>
    <w:rsid w:val="5C1832F4"/>
    <w:rsid w:val="5C1A3044"/>
    <w:rsid w:val="5C1D0EE1"/>
    <w:rsid w:val="5C1E5F2C"/>
    <w:rsid w:val="5C26307A"/>
    <w:rsid w:val="5C5E033F"/>
    <w:rsid w:val="5C6875EE"/>
    <w:rsid w:val="5C6F12DC"/>
    <w:rsid w:val="5CB76D02"/>
    <w:rsid w:val="5CC16FD6"/>
    <w:rsid w:val="5CC43404"/>
    <w:rsid w:val="5CC93DAE"/>
    <w:rsid w:val="5CD114DC"/>
    <w:rsid w:val="5CD21C00"/>
    <w:rsid w:val="5CD31EE3"/>
    <w:rsid w:val="5CE1654F"/>
    <w:rsid w:val="5CF0170C"/>
    <w:rsid w:val="5D072BC8"/>
    <w:rsid w:val="5D076525"/>
    <w:rsid w:val="5D0A3A75"/>
    <w:rsid w:val="5D0C667B"/>
    <w:rsid w:val="5D2809E1"/>
    <w:rsid w:val="5D2B5629"/>
    <w:rsid w:val="5D2E45E5"/>
    <w:rsid w:val="5D315CEB"/>
    <w:rsid w:val="5D3B59DF"/>
    <w:rsid w:val="5D42018B"/>
    <w:rsid w:val="5D440D30"/>
    <w:rsid w:val="5D473075"/>
    <w:rsid w:val="5D5830EC"/>
    <w:rsid w:val="5D5864DB"/>
    <w:rsid w:val="5D73393B"/>
    <w:rsid w:val="5D784379"/>
    <w:rsid w:val="5D7B3457"/>
    <w:rsid w:val="5D8B2715"/>
    <w:rsid w:val="5D915AFD"/>
    <w:rsid w:val="5D9F7C74"/>
    <w:rsid w:val="5DA30E16"/>
    <w:rsid w:val="5DAE2E8C"/>
    <w:rsid w:val="5DAE7F34"/>
    <w:rsid w:val="5DB65502"/>
    <w:rsid w:val="5DD71642"/>
    <w:rsid w:val="5E00720B"/>
    <w:rsid w:val="5E012896"/>
    <w:rsid w:val="5E0A6049"/>
    <w:rsid w:val="5E0E617A"/>
    <w:rsid w:val="5E156B70"/>
    <w:rsid w:val="5E1906D7"/>
    <w:rsid w:val="5E21165A"/>
    <w:rsid w:val="5E226508"/>
    <w:rsid w:val="5E485CD7"/>
    <w:rsid w:val="5E5A21E5"/>
    <w:rsid w:val="5E5D520F"/>
    <w:rsid w:val="5E5F0687"/>
    <w:rsid w:val="5E783202"/>
    <w:rsid w:val="5E7842EE"/>
    <w:rsid w:val="5E9560A8"/>
    <w:rsid w:val="5EA648E2"/>
    <w:rsid w:val="5EB52E6F"/>
    <w:rsid w:val="5EC94A60"/>
    <w:rsid w:val="5ED95EEE"/>
    <w:rsid w:val="5EDC7B1C"/>
    <w:rsid w:val="5EE07FE3"/>
    <w:rsid w:val="5EF04AC4"/>
    <w:rsid w:val="5EF47473"/>
    <w:rsid w:val="5F09081F"/>
    <w:rsid w:val="5F1111AD"/>
    <w:rsid w:val="5F121A0D"/>
    <w:rsid w:val="5F1B27DE"/>
    <w:rsid w:val="5F2C64A1"/>
    <w:rsid w:val="5F39582E"/>
    <w:rsid w:val="5F3C3A9B"/>
    <w:rsid w:val="5F45602C"/>
    <w:rsid w:val="5F4632C4"/>
    <w:rsid w:val="5F482400"/>
    <w:rsid w:val="5F4A58A7"/>
    <w:rsid w:val="5F57147C"/>
    <w:rsid w:val="5F646936"/>
    <w:rsid w:val="5F764A5E"/>
    <w:rsid w:val="5F7D66DE"/>
    <w:rsid w:val="5F810033"/>
    <w:rsid w:val="5F883B94"/>
    <w:rsid w:val="5F8C52DB"/>
    <w:rsid w:val="5F966692"/>
    <w:rsid w:val="5FA00A10"/>
    <w:rsid w:val="5FA4374A"/>
    <w:rsid w:val="5FA4380A"/>
    <w:rsid w:val="5FB25387"/>
    <w:rsid w:val="5FC53509"/>
    <w:rsid w:val="5FCE544A"/>
    <w:rsid w:val="5FD20829"/>
    <w:rsid w:val="5FFE6C22"/>
    <w:rsid w:val="60000309"/>
    <w:rsid w:val="600B6B90"/>
    <w:rsid w:val="600C3224"/>
    <w:rsid w:val="600F6605"/>
    <w:rsid w:val="60143AD3"/>
    <w:rsid w:val="60281FCD"/>
    <w:rsid w:val="603771DA"/>
    <w:rsid w:val="60492E3D"/>
    <w:rsid w:val="60634A2F"/>
    <w:rsid w:val="60734371"/>
    <w:rsid w:val="6085543E"/>
    <w:rsid w:val="60907882"/>
    <w:rsid w:val="609517E9"/>
    <w:rsid w:val="609A2B73"/>
    <w:rsid w:val="60BA0952"/>
    <w:rsid w:val="60C5483E"/>
    <w:rsid w:val="60C867C5"/>
    <w:rsid w:val="60D139F9"/>
    <w:rsid w:val="60D3354A"/>
    <w:rsid w:val="60DB0800"/>
    <w:rsid w:val="60DE0DB6"/>
    <w:rsid w:val="60E54273"/>
    <w:rsid w:val="60F46839"/>
    <w:rsid w:val="60F720D4"/>
    <w:rsid w:val="61015694"/>
    <w:rsid w:val="61067A64"/>
    <w:rsid w:val="610C7D1D"/>
    <w:rsid w:val="6112529A"/>
    <w:rsid w:val="611F0B09"/>
    <w:rsid w:val="61200AAF"/>
    <w:rsid w:val="612D2321"/>
    <w:rsid w:val="61421C60"/>
    <w:rsid w:val="61455CF4"/>
    <w:rsid w:val="615055E7"/>
    <w:rsid w:val="616E223F"/>
    <w:rsid w:val="61751F59"/>
    <w:rsid w:val="617C28AF"/>
    <w:rsid w:val="61857054"/>
    <w:rsid w:val="61963257"/>
    <w:rsid w:val="619C38B4"/>
    <w:rsid w:val="61A4486B"/>
    <w:rsid w:val="61B33DDF"/>
    <w:rsid w:val="61BB4A1B"/>
    <w:rsid w:val="61BC23E5"/>
    <w:rsid w:val="61D21120"/>
    <w:rsid w:val="61E728F9"/>
    <w:rsid w:val="61F3667F"/>
    <w:rsid w:val="61FB110C"/>
    <w:rsid w:val="620B2B74"/>
    <w:rsid w:val="62185165"/>
    <w:rsid w:val="6224603C"/>
    <w:rsid w:val="623131E1"/>
    <w:rsid w:val="623D608D"/>
    <w:rsid w:val="62460FCD"/>
    <w:rsid w:val="62461162"/>
    <w:rsid w:val="62480FF0"/>
    <w:rsid w:val="624B14C1"/>
    <w:rsid w:val="62630C6B"/>
    <w:rsid w:val="626E04C8"/>
    <w:rsid w:val="627301E8"/>
    <w:rsid w:val="6280138A"/>
    <w:rsid w:val="6280604D"/>
    <w:rsid w:val="6295194F"/>
    <w:rsid w:val="62976F5F"/>
    <w:rsid w:val="62991510"/>
    <w:rsid w:val="62BA3B2B"/>
    <w:rsid w:val="62C37511"/>
    <w:rsid w:val="62C73BDF"/>
    <w:rsid w:val="62D11C3F"/>
    <w:rsid w:val="62E157FC"/>
    <w:rsid w:val="62E81148"/>
    <w:rsid w:val="62F76986"/>
    <w:rsid w:val="63074CE8"/>
    <w:rsid w:val="632F06D8"/>
    <w:rsid w:val="63340EAE"/>
    <w:rsid w:val="63443DC2"/>
    <w:rsid w:val="634B6A95"/>
    <w:rsid w:val="634F6CB9"/>
    <w:rsid w:val="63615D3E"/>
    <w:rsid w:val="63683422"/>
    <w:rsid w:val="636C62BA"/>
    <w:rsid w:val="6378097F"/>
    <w:rsid w:val="63821D61"/>
    <w:rsid w:val="63827E36"/>
    <w:rsid w:val="63842477"/>
    <w:rsid w:val="638B04D2"/>
    <w:rsid w:val="63A85CD1"/>
    <w:rsid w:val="63B02C42"/>
    <w:rsid w:val="63C51AD9"/>
    <w:rsid w:val="63C53DCF"/>
    <w:rsid w:val="63C54411"/>
    <w:rsid w:val="63CB7B9C"/>
    <w:rsid w:val="63CD27C8"/>
    <w:rsid w:val="63CF2629"/>
    <w:rsid w:val="63D40E51"/>
    <w:rsid w:val="63D56223"/>
    <w:rsid w:val="63E263F4"/>
    <w:rsid w:val="63E418C9"/>
    <w:rsid w:val="640C3AEA"/>
    <w:rsid w:val="643F3FFC"/>
    <w:rsid w:val="646C4EF1"/>
    <w:rsid w:val="64706C6F"/>
    <w:rsid w:val="648B777B"/>
    <w:rsid w:val="64937D17"/>
    <w:rsid w:val="6494650D"/>
    <w:rsid w:val="649A6134"/>
    <w:rsid w:val="649D2569"/>
    <w:rsid w:val="64A51362"/>
    <w:rsid w:val="64A55A03"/>
    <w:rsid w:val="64B23D7F"/>
    <w:rsid w:val="64B41E06"/>
    <w:rsid w:val="64B453B1"/>
    <w:rsid w:val="64BE5702"/>
    <w:rsid w:val="64CD68EB"/>
    <w:rsid w:val="64CF05E4"/>
    <w:rsid w:val="64D93F02"/>
    <w:rsid w:val="64EA4517"/>
    <w:rsid w:val="64FC561C"/>
    <w:rsid w:val="64FE0E31"/>
    <w:rsid w:val="651A5C6A"/>
    <w:rsid w:val="651C38DB"/>
    <w:rsid w:val="65204394"/>
    <w:rsid w:val="6522790C"/>
    <w:rsid w:val="653E78B1"/>
    <w:rsid w:val="65403733"/>
    <w:rsid w:val="655754CB"/>
    <w:rsid w:val="655E258A"/>
    <w:rsid w:val="655E2D72"/>
    <w:rsid w:val="65611E60"/>
    <w:rsid w:val="656171FC"/>
    <w:rsid w:val="656C22D3"/>
    <w:rsid w:val="6570700F"/>
    <w:rsid w:val="65797273"/>
    <w:rsid w:val="657B05D3"/>
    <w:rsid w:val="657F0CE6"/>
    <w:rsid w:val="65833C4F"/>
    <w:rsid w:val="658B37B6"/>
    <w:rsid w:val="659C17EE"/>
    <w:rsid w:val="65B40820"/>
    <w:rsid w:val="65BA3B56"/>
    <w:rsid w:val="65BA7DBF"/>
    <w:rsid w:val="65BD3777"/>
    <w:rsid w:val="65C9414E"/>
    <w:rsid w:val="65D70270"/>
    <w:rsid w:val="66032E7B"/>
    <w:rsid w:val="66053581"/>
    <w:rsid w:val="660A19B0"/>
    <w:rsid w:val="661002E8"/>
    <w:rsid w:val="661026AA"/>
    <w:rsid w:val="661177DB"/>
    <w:rsid w:val="661C2B82"/>
    <w:rsid w:val="661C7D88"/>
    <w:rsid w:val="663D054E"/>
    <w:rsid w:val="66460692"/>
    <w:rsid w:val="6662594A"/>
    <w:rsid w:val="6679372B"/>
    <w:rsid w:val="667B3C56"/>
    <w:rsid w:val="668A6C2F"/>
    <w:rsid w:val="66980BF6"/>
    <w:rsid w:val="66A74C51"/>
    <w:rsid w:val="66B35222"/>
    <w:rsid w:val="66B81454"/>
    <w:rsid w:val="66BE1292"/>
    <w:rsid w:val="66BF76F1"/>
    <w:rsid w:val="66D5086B"/>
    <w:rsid w:val="66DA3497"/>
    <w:rsid w:val="66DC5BF8"/>
    <w:rsid w:val="66E173F9"/>
    <w:rsid w:val="66E3226C"/>
    <w:rsid w:val="66E611A7"/>
    <w:rsid w:val="66E774AD"/>
    <w:rsid w:val="66EC287F"/>
    <w:rsid w:val="66EC5E36"/>
    <w:rsid w:val="66F17695"/>
    <w:rsid w:val="67181932"/>
    <w:rsid w:val="672A4901"/>
    <w:rsid w:val="6732525B"/>
    <w:rsid w:val="67441B08"/>
    <w:rsid w:val="674A4903"/>
    <w:rsid w:val="674F5161"/>
    <w:rsid w:val="67513E69"/>
    <w:rsid w:val="675A17FE"/>
    <w:rsid w:val="67665A79"/>
    <w:rsid w:val="676E1585"/>
    <w:rsid w:val="677E2FA1"/>
    <w:rsid w:val="67836FB1"/>
    <w:rsid w:val="678A44B2"/>
    <w:rsid w:val="678C1D52"/>
    <w:rsid w:val="67973403"/>
    <w:rsid w:val="67A67078"/>
    <w:rsid w:val="67AC341B"/>
    <w:rsid w:val="67AF1BC9"/>
    <w:rsid w:val="67B74EAA"/>
    <w:rsid w:val="67C149C0"/>
    <w:rsid w:val="67C26B82"/>
    <w:rsid w:val="67C56E1C"/>
    <w:rsid w:val="67C7427D"/>
    <w:rsid w:val="67CA7967"/>
    <w:rsid w:val="67CC38C5"/>
    <w:rsid w:val="67D9695E"/>
    <w:rsid w:val="67DC5CEA"/>
    <w:rsid w:val="67DF18A0"/>
    <w:rsid w:val="67E024C8"/>
    <w:rsid w:val="67E40B31"/>
    <w:rsid w:val="67F5522D"/>
    <w:rsid w:val="680965F8"/>
    <w:rsid w:val="681778E7"/>
    <w:rsid w:val="68240EAA"/>
    <w:rsid w:val="683D75A2"/>
    <w:rsid w:val="6850356A"/>
    <w:rsid w:val="685465AC"/>
    <w:rsid w:val="6866549A"/>
    <w:rsid w:val="686A150A"/>
    <w:rsid w:val="68733F18"/>
    <w:rsid w:val="687442EE"/>
    <w:rsid w:val="68856925"/>
    <w:rsid w:val="689B3E14"/>
    <w:rsid w:val="689C5C1D"/>
    <w:rsid w:val="689D6F4C"/>
    <w:rsid w:val="689F2FA0"/>
    <w:rsid w:val="68A02CE9"/>
    <w:rsid w:val="68AD26AA"/>
    <w:rsid w:val="68BC14B0"/>
    <w:rsid w:val="68BC512A"/>
    <w:rsid w:val="68BF0078"/>
    <w:rsid w:val="68C20D16"/>
    <w:rsid w:val="68DD619B"/>
    <w:rsid w:val="68FD5593"/>
    <w:rsid w:val="690C5E8F"/>
    <w:rsid w:val="691B307E"/>
    <w:rsid w:val="69301A1D"/>
    <w:rsid w:val="6934218F"/>
    <w:rsid w:val="69381A06"/>
    <w:rsid w:val="693C5AA5"/>
    <w:rsid w:val="693E13B7"/>
    <w:rsid w:val="69421566"/>
    <w:rsid w:val="6951205B"/>
    <w:rsid w:val="6953741D"/>
    <w:rsid w:val="69552B47"/>
    <w:rsid w:val="6956014F"/>
    <w:rsid w:val="696C7724"/>
    <w:rsid w:val="696F3842"/>
    <w:rsid w:val="69731101"/>
    <w:rsid w:val="697D087B"/>
    <w:rsid w:val="698E7730"/>
    <w:rsid w:val="69A7770D"/>
    <w:rsid w:val="69AC0B64"/>
    <w:rsid w:val="69AD6FC7"/>
    <w:rsid w:val="69B27491"/>
    <w:rsid w:val="69B27C94"/>
    <w:rsid w:val="69B528D9"/>
    <w:rsid w:val="69BA2288"/>
    <w:rsid w:val="69BA712C"/>
    <w:rsid w:val="69D537ED"/>
    <w:rsid w:val="69D81857"/>
    <w:rsid w:val="69DC3AC1"/>
    <w:rsid w:val="69DC537F"/>
    <w:rsid w:val="69E673F8"/>
    <w:rsid w:val="69EB2120"/>
    <w:rsid w:val="69EF180F"/>
    <w:rsid w:val="69F00B35"/>
    <w:rsid w:val="69F224F8"/>
    <w:rsid w:val="69F3045E"/>
    <w:rsid w:val="69F3790F"/>
    <w:rsid w:val="6A12415B"/>
    <w:rsid w:val="6A1D05D4"/>
    <w:rsid w:val="6A25601C"/>
    <w:rsid w:val="6A2750C5"/>
    <w:rsid w:val="6A290AA5"/>
    <w:rsid w:val="6A2A46CE"/>
    <w:rsid w:val="6A2F0257"/>
    <w:rsid w:val="6A3A1167"/>
    <w:rsid w:val="6A3D6AA0"/>
    <w:rsid w:val="6A3F4FDB"/>
    <w:rsid w:val="6A532FF6"/>
    <w:rsid w:val="6A601C8F"/>
    <w:rsid w:val="6A7174A5"/>
    <w:rsid w:val="6A72508F"/>
    <w:rsid w:val="6A732254"/>
    <w:rsid w:val="6A774894"/>
    <w:rsid w:val="6A8977C7"/>
    <w:rsid w:val="6A8C3EFF"/>
    <w:rsid w:val="6A9371B0"/>
    <w:rsid w:val="6A937D23"/>
    <w:rsid w:val="6A9B5915"/>
    <w:rsid w:val="6A9B7735"/>
    <w:rsid w:val="6AA258AD"/>
    <w:rsid w:val="6AB45A03"/>
    <w:rsid w:val="6ABE4FFD"/>
    <w:rsid w:val="6ABF4CA2"/>
    <w:rsid w:val="6AC62D27"/>
    <w:rsid w:val="6AD6142A"/>
    <w:rsid w:val="6AE26C27"/>
    <w:rsid w:val="6AED013C"/>
    <w:rsid w:val="6AF159FF"/>
    <w:rsid w:val="6AF63F29"/>
    <w:rsid w:val="6AFF38FC"/>
    <w:rsid w:val="6B150AD8"/>
    <w:rsid w:val="6B285741"/>
    <w:rsid w:val="6B287B18"/>
    <w:rsid w:val="6B2E25B1"/>
    <w:rsid w:val="6B340EF1"/>
    <w:rsid w:val="6B3D06AC"/>
    <w:rsid w:val="6B410A8A"/>
    <w:rsid w:val="6B444BB7"/>
    <w:rsid w:val="6B4B2C3B"/>
    <w:rsid w:val="6B567E90"/>
    <w:rsid w:val="6B5A2504"/>
    <w:rsid w:val="6B5B0A52"/>
    <w:rsid w:val="6B5D2504"/>
    <w:rsid w:val="6B6C560D"/>
    <w:rsid w:val="6B846AF2"/>
    <w:rsid w:val="6B95396B"/>
    <w:rsid w:val="6BBB00B1"/>
    <w:rsid w:val="6BBD3E9D"/>
    <w:rsid w:val="6BC03721"/>
    <w:rsid w:val="6BC054EA"/>
    <w:rsid w:val="6BC66928"/>
    <w:rsid w:val="6BCA5D1D"/>
    <w:rsid w:val="6BCC01D5"/>
    <w:rsid w:val="6BCF2DCA"/>
    <w:rsid w:val="6BDC2139"/>
    <w:rsid w:val="6BDD0493"/>
    <w:rsid w:val="6BDE54AC"/>
    <w:rsid w:val="6BE068F6"/>
    <w:rsid w:val="6BF229CE"/>
    <w:rsid w:val="6BF25C39"/>
    <w:rsid w:val="6BF52D4E"/>
    <w:rsid w:val="6C06150E"/>
    <w:rsid w:val="6C155F31"/>
    <w:rsid w:val="6C194207"/>
    <w:rsid w:val="6C206E21"/>
    <w:rsid w:val="6C263A06"/>
    <w:rsid w:val="6C3A624E"/>
    <w:rsid w:val="6C3F24C1"/>
    <w:rsid w:val="6C3F4795"/>
    <w:rsid w:val="6C431738"/>
    <w:rsid w:val="6C505966"/>
    <w:rsid w:val="6C5D04BB"/>
    <w:rsid w:val="6C666C3C"/>
    <w:rsid w:val="6C6833E1"/>
    <w:rsid w:val="6C8E4315"/>
    <w:rsid w:val="6C95615F"/>
    <w:rsid w:val="6CA47261"/>
    <w:rsid w:val="6CA94419"/>
    <w:rsid w:val="6CB242A2"/>
    <w:rsid w:val="6CC818AD"/>
    <w:rsid w:val="6CE0612A"/>
    <w:rsid w:val="6CE269D3"/>
    <w:rsid w:val="6CED284E"/>
    <w:rsid w:val="6CF04EB7"/>
    <w:rsid w:val="6CF17872"/>
    <w:rsid w:val="6CF76712"/>
    <w:rsid w:val="6D033EFD"/>
    <w:rsid w:val="6D0F492B"/>
    <w:rsid w:val="6D274676"/>
    <w:rsid w:val="6D2F4B50"/>
    <w:rsid w:val="6D366583"/>
    <w:rsid w:val="6D385ED1"/>
    <w:rsid w:val="6D3C14B2"/>
    <w:rsid w:val="6D436625"/>
    <w:rsid w:val="6D5E64E8"/>
    <w:rsid w:val="6D652ED0"/>
    <w:rsid w:val="6D662717"/>
    <w:rsid w:val="6D663299"/>
    <w:rsid w:val="6D770FC8"/>
    <w:rsid w:val="6D8A7838"/>
    <w:rsid w:val="6D8E0DC3"/>
    <w:rsid w:val="6D925740"/>
    <w:rsid w:val="6D9E7C69"/>
    <w:rsid w:val="6DA71839"/>
    <w:rsid w:val="6DB20233"/>
    <w:rsid w:val="6DC54D30"/>
    <w:rsid w:val="6DDF0294"/>
    <w:rsid w:val="6DEB2527"/>
    <w:rsid w:val="6DF518F9"/>
    <w:rsid w:val="6DF573C9"/>
    <w:rsid w:val="6DF6740D"/>
    <w:rsid w:val="6DFB06CC"/>
    <w:rsid w:val="6E035B81"/>
    <w:rsid w:val="6E044D86"/>
    <w:rsid w:val="6E0F0D37"/>
    <w:rsid w:val="6E0F320E"/>
    <w:rsid w:val="6E131686"/>
    <w:rsid w:val="6E1B4CD0"/>
    <w:rsid w:val="6E235036"/>
    <w:rsid w:val="6E294BEF"/>
    <w:rsid w:val="6E2A0DD8"/>
    <w:rsid w:val="6E376A3A"/>
    <w:rsid w:val="6E3F1C0F"/>
    <w:rsid w:val="6E432488"/>
    <w:rsid w:val="6E495901"/>
    <w:rsid w:val="6E567CD0"/>
    <w:rsid w:val="6E61430C"/>
    <w:rsid w:val="6E633CB5"/>
    <w:rsid w:val="6E72570E"/>
    <w:rsid w:val="6E9679F1"/>
    <w:rsid w:val="6EA76DF2"/>
    <w:rsid w:val="6EAB29FB"/>
    <w:rsid w:val="6EB32B7F"/>
    <w:rsid w:val="6EB46F18"/>
    <w:rsid w:val="6EB63507"/>
    <w:rsid w:val="6EBD4DFF"/>
    <w:rsid w:val="6EC73357"/>
    <w:rsid w:val="6ED266F7"/>
    <w:rsid w:val="6ED91F94"/>
    <w:rsid w:val="6EE939F2"/>
    <w:rsid w:val="6EF50E3A"/>
    <w:rsid w:val="6F021829"/>
    <w:rsid w:val="6F28474F"/>
    <w:rsid w:val="6F2B1966"/>
    <w:rsid w:val="6F350882"/>
    <w:rsid w:val="6F384951"/>
    <w:rsid w:val="6F607895"/>
    <w:rsid w:val="6F61040C"/>
    <w:rsid w:val="6F6776E1"/>
    <w:rsid w:val="6F702CF5"/>
    <w:rsid w:val="6F755874"/>
    <w:rsid w:val="6F7C357B"/>
    <w:rsid w:val="6F7E1B78"/>
    <w:rsid w:val="6F9C5D71"/>
    <w:rsid w:val="6FA3781E"/>
    <w:rsid w:val="6FAA67FE"/>
    <w:rsid w:val="6FAF5C06"/>
    <w:rsid w:val="6FB80EE8"/>
    <w:rsid w:val="6FD36624"/>
    <w:rsid w:val="6FE53444"/>
    <w:rsid w:val="6FEC4532"/>
    <w:rsid w:val="6FF1528E"/>
    <w:rsid w:val="6FF57E89"/>
    <w:rsid w:val="700C0460"/>
    <w:rsid w:val="70170F2B"/>
    <w:rsid w:val="701E2FAB"/>
    <w:rsid w:val="701E5396"/>
    <w:rsid w:val="702267D2"/>
    <w:rsid w:val="7029035E"/>
    <w:rsid w:val="703369E6"/>
    <w:rsid w:val="70370653"/>
    <w:rsid w:val="70387A8F"/>
    <w:rsid w:val="70494D08"/>
    <w:rsid w:val="70680AC8"/>
    <w:rsid w:val="706D0A85"/>
    <w:rsid w:val="706D51B8"/>
    <w:rsid w:val="70767F2C"/>
    <w:rsid w:val="707E4423"/>
    <w:rsid w:val="707E62BB"/>
    <w:rsid w:val="70887002"/>
    <w:rsid w:val="709E4E34"/>
    <w:rsid w:val="709E640C"/>
    <w:rsid w:val="70A156F4"/>
    <w:rsid w:val="70A5212F"/>
    <w:rsid w:val="70AD5CCA"/>
    <w:rsid w:val="70B56633"/>
    <w:rsid w:val="70BB0D3E"/>
    <w:rsid w:val="70CF3906"/>
    <w:rsid w:val="70D91094"/>
    <w:rsid w:val="70DA3D94"/>
    <w:rsid w:val="70DB76EF"/>
    <w:rsid w:val="70E47264"/>
    <w:rsid w:val="70E751A0"/>
    <w:rsid w:val="70F52E24"/>
    <w:rsid w:val="710151C1"/>
    <w:rsid w:val="710B03C6"/>
    <w:rsid w:val="710D695E"/>
    <w:rsid w:val="710D79BB"/>
    <w:rsid w:val="71191370"/>
    <w:rsid w:val="71196240"/>
    <w:rsid w:val="711C6EC1"/>
    <w:rsid w:val="711D17DA"/>
    <w:rsid w:val="712D2ADB"/>
    <w:rsid w:val="712D4159"/>
    <w:rsid w:val="71346CB6"/>
    <w:rsid w:val="7136388E"/>
    <w:rsid w:val="714200B6"/>
    <w:rsid w:val="71431855"/>
    <w:rsid w:val="7143374A"/>
    <w:rsid w:val="715117C4"/>
    <w:rsid w:val="71536701"/>
    <w:rsid w:val="715D365A"/>
    <w:rsid w:val="715D7038"/>
    <w:rsid w:val="716A160C"/>
    <w:rsid w:val="716B5F96"/>
    <w:rsid w:val="716B69ED"/>
    <w:rsid w:val="71747EDF"/>
    <w:rsid w:val="718B3A9F"/>
    <w:rsid w:val="71936186"/>
    <w:rsid w:val="71A60F06"/>
    <w:rsid w:val="71AF2F66"/>
    <w:rsid w:val="71C2301C"/>
    <w:rsid w:val="71C45E90"/>
    <w:rsid w:val="71C96C07"/>
    <w:rsid w:val="71CD28DD"/>
    <w:rsid w:val="71D00811"/>
    <w:rsid w:val="71DA7C5F"/>
    <w:rsid w:val="71DE4C74"/>
    <w:rsid w:val="71E346E4"/>
    <w:rsid w:val="71E767FC"/>
    <w:rsid w:val="71EF5D41"/>
    <w:rsid w:val="720041D2"/>
    <w:rsid w:val="72056436"/>
    <w:rsid w:val="720979A0"/>
    <w:rsid w:val="720F633E"/>
    <w:rsid w:val="72130B93"/>
    <w:rsid w:val="72142E0B"/>
    <w:rsid w:val="721C688B"/>
    <w:rsid w:val="723749D7"/>
    <w:rsid w:val="724E54F1"/>
    <w:rsid w:val="726B5B97"/>
    <w:rsid w:val="727334E4"/>
    <w:rsid w:val="72772DDB"/>
    <w:rsid w:val="727B2E39"/>
    <w:rsid w:val="72827328"/>
    <w:rsid w:val="728B509F"/>
    <w:rsid w:val="728F0A31"/>
    <w:rsid w:val="72A03AA7"/>
    <w:rsid w:val="72A310CE"/>
    <w:rsid w:val="72A65376"/>
    <w:rsid w:val="72AD3F7C"/>
    <w:rsid w:val="72B751B8"/>
    <w:rsid w:val="72BA36EB"/>
    <w:rsid w:val="72C86D5A"/>
    <w:rsid w:val="72CE3184"/>
    <w:rsid w:val="72CE7D06"/>
    <w:rsid w:val="72D456A5"/>
    <w:rsid w:val="72E01A3B"/>
    <w:rsid w:val="72E70D52"/>
    <w:rsid w:val="72EA6B66"/>
    <w:rsid w:val="72F07D9D"/>
    <w:rsid w:val="7302733B"/>
    <w:rsid w:val="730D41E7"/>
    <w:rsid w:val="731649D2"/>
    <w:rsid w:val="731C28E7"/>
    <w:rsid w:val="7326097A"/>
    <w:rsid w:val="732A4A9B"/>
    <w:rsid w:val="73343997"/>
    <w:rsid w:val="73370B0A"/>
    <w:rsid w:val="733C723A"/>
    <w:rsid w:val="733C7C6A"/>
    <w:rsid w:val="73513B69"/>
    <w:rsid w:val="736411CC"/>
    <w:rsid w:val="73690216"/>
    <w:rsid w:val="736A02D8"/>
    <w:rsid w:val="73893467"/>
    <w:rsid w:val="738A36E1"/>
    <w:rsid w:val="738B0E08"/>
    <w:rsid w:val="738B3C80"/>
    <w:rsid w:val="73912A81"/>
    <w:rsid w:val="73996C2D"/>
    <w:rsid w:val="739B1EFF"/>
    <w:rsid w:val="73A16D22"/>
    <w:rsid w:val="73B1400F"/>
    <w:rsid w:val="73BA064C"/>
    <w:rsid w:val="73BB3C6E"/>
    <w:rsid w:val="73C26E09"/>
    <w:rsid w:val="73CE1997"/>
    <w:rsid w:val="73DE1AB7"/>
    <w:rsid w:val="73EC7C9D"/>
    <w:rsid w:val="7407051F"/>
    <w:rsid w:val="741076D1"/>
    <w:rsid w:val="74215D04"/>
    <w:rsid w:val="742A0965"/>
    <w:rsid w:val="742D6DB6"/>
    <w:rsid w:val="743A4A01"/>
    <w:rsid w:val="744642D9"/>
    <w:rsid w:val="744C30C9"/>
    <w:rsid w:val="74522D94"/>
    <w:rsid w:val="74756D72"/>
    <w:rsid w:val="74775754"/>
    <w:rsid w:val="748F68C4"/>
    <w:rsid w:val="74AD7EC6"/>
    <w:rsid w:val="74B06962"/>
    <w:rsid w:val="74B32215"/>
    <w:rsid w:val="74C46840"/>
    <w:rsid w:val="74C976F2"/>
    <w:rsid w:val="74CF3C2D"/>
    <w:rsid w:val="74D575AA"/>
    <w:rsid w:val="74D71DDE"/>
    <w:rsid w:val="74DA7956"/>
    <w:rsid w:val="74E11F86"/>
    <w:rsid w:val="74FB509B"/>
    <w:rsid w:val="74FB6035"/>
    <w:rsid w:val="750934A8"/>
    <w:rsid w:val="750A15E4"/>
    <w:rsid w:val="75276EB7"/>
    <w:rsid w:val="752B3381"/>
    <w:rsid w:val="75376E15"/>
    <w:rsid w:val="75457EFF"/>
    <w:rsid w:val="754E2D4A"/>
    <w:rsid w:val="7554481F"/>
    <w:rsid w:val="75594581"/>
    <w:rsid w:val="755A5494"/>
    <w:rsid w:val="755C7460"/>
    <w:rsid w:val="75625A16"/>
    <w:rsid w:val="7564200E"/>
    <w:rsid w:val="75663FD1"/>
    <w:rsid w:val="756C1808"/>
    <w:rsid w:val="757540E3"/>
    <w:rsid w:val="75816E2E"/>
    <w:rsid w:val="75857514"/>
    <w:rsid w:val="759B02AD"/>
    <w:rsid w:val="759B0C43"/>
    <w:rsid w:val="75A53BC6"/>
    <w:rsid w:val="75B745F8"/>
    <w:rsid w:val="75C123A7"/>
    <w:rsid w:val="75CA4D48"/>
    <w:rsid w:val="75CD2584"/>
    <w:rsid w:val="75D357A7"/>
    <w:rsid w:val="75EC7622"/>
    <w:rsid w:val="75F75D00"/>
    <w:rsid w:val="75F8074C"/>
    <w:rsid w:val="7600209C"/>
    <w:rsid w:val="760049B0"/>
    <w:rsid w:val="76070A73"/>
    <w:rsid w:val="760A7247"/>
    <w:rsid w:val="76250B12"/>
    <w:rsid w:val="762D70E7"/>
    <w:rsid w:val="7630359D"/>
    <w:rsid w:val="763B42FB"/>
    <w:rsid w:val="763D4BE9"/>
    <w:rsid w:val="763F1F92"/>
    <w:rsid w:val="76424474"/>
    <w:rsid w:val="76437632"/>
    <w:rsid w:val="76451CD6"/>
    <w:rsid w:val="76452780"/>
    <w:rsid w:val="764F7670"/>
    <w:rsid w:val="76525F67"/>
    <w:rsid w:val="76555C66"/>
    <w:rsid w:val="76587361"/>
    <w:rsid w:val="76690632"/>
    <w:rsid w:val="767469E2"/>
    <w:rsid w:val="76775F0B"/>
    <w:rsid w:val="767E2DAC"/>
    <w:rsid w:val="76894819"/>
    <w:rsid w:val="768D57E3"/>
    <w:rsid w:val="76932317"/>
    <w:rsid w:val="769A2484"/>
    <w:rsid w:val="76B153BA"/>
    <w:rsid w:val="76C72CA0"/>
    <w:rsid w:val="76C77EA3"/>
    <w:rsid w:val="76ED0EF4"/>
    <w:rsid w:val="76F2295F"/>
    <w:rsid w:val="76F50A9F"/>
    <w:rsid w:val="76FD2D1D"/>
    <w:rsid w:val="77165248"/>
    <w:rsid w:val="77187F65"/>
    <w:rsid w:val="7729766A"/>
    <w:rsid w:val="772A50C1"/>
    <w:rsid w:val="772D35A6"/>
    <w:rsid w:val="773A62B8"/>
    <w:rsid w:val="77422DC5"/>
    <w:rsid w:val="774A39B5"/>
    <w:rsid w:val="774B3934"/>
    <w:rsid w:val="777B5F51"/>
    <w:rsid w:val="777D53E6"/>
    <w:rsid w:val="77847A56"/>
    <w:rsid w:val="778F0D7D"/>
    <w:rsid w:val="778F49BD"/>
    <w:rsid w:val="77941916"/>
    <w:rsid w:val="77966F4C"/>
    <w:rsid w:val="77A31525"/>
    <w:rsid w:val="77A75021"/>
    <w:rsid w:val="77B4796D"/>
    <w:rsid w:val="77B8689C"/>
    <w:rsid w:val="77C2510C"/>
    <w:rsid w:val="77C60FA8"/>
    <w:rsid w:val="77C833A2"/>
    <w:rsid w:val="78036043"/>
    <w:rsid w:val="7813374F"/>
    <w:rsid w:val="781838FF"/>
    <w:rsid w:val="781B3886"/>
    <w:rsid w:val="78316382"/>
    <w:rsid w:val="78375EBD"/>
    <w:rsid w:val="78381EDF"/>
    <w:rsid w:val="784151EC"/>
    <w:rsid w:val="787659AD"/>
    <w:rsid w:val="7888219B"/>
    <w:rsid w:val="788908C8"/>
    <w:rsid w:val="78993306"/>
    <w:rsid w:val="789C0845"/>
    <w:rsid w:val="789E0C11"/>
    <w:rsid w:val="78BC539D"/>
    <w:rsid w:val="78C134B0"/>
    <w:rsid w:val="78D97F0E"/>
    <w:rsid w:val="78DA009A"/>
    <w:rsid w:val="78DC2FA9"/>
    <w:rsid w:val="78E72E52"/>
    <w:rsid w:val="78F40C87"/>
    <w:rsid w:val="78FC7FC2"/>
    <w:rsid w:val="79042DE3"/>
    <w:rsid w:val="790E41E3"/>
    <w:rsid w:val="791474A8"/>
    <w:rsid w:val="79176206"/>
    <w:rsid w:val="79213934"/>
    <w:rsid w:val="7940572D"/>
    <w:rsid w:val="79461391"/>
    <w:rsid w:val="794B4D74"/>
    <w:rsid w:val="79501475"/>
    <w:rsid w:val="795A2648"/>
    <w:rsid w:val="795A5499"/>
    <w:rsid w:val="796E35F2"/>
    <w:rsid w:val="7971290E"/>
    <w:rsid w:val="797951A9"/>
    <w:rsid w:val="797C53B4"/>
    <w:rsid w:val="797D6440"/>
    <w:rsid w:val="798D7D34"/>
    <w:rsid w:val="7990174F"/>
    <w:rsid w:val="79A15149"/>
    <w:rsid w:val="79A37CCA"/>
    <w:rsid w:val="79BF2784"/>
    <w:rsid w:val="79C24EDF"/>
    <w:rsid w:val="79C95AED"/>
    <w:rsid w:val="79D50B63"/>
    <w:rsid w:val="79E12ED9"/>
    <w:rsid w:val="79E352FF"/>
    <w:rsid w:val="79E9023D"/>
    <w:rsid w:val="79ED6701"/>
    <w:rsid w:val="79FA109A"/>
    <w:rsid w:val="79FB2D0B"/>
    <w:rsid w:val="7A052E17"/>
    <w:rsid w:val="7A0F1525"/>
    <w:rsid w:val="7A300A72"/>
    <w:rsid w:val="7A4C0107"/>
    <w:rsid w:val="7A4D07BA"/>
    <w:rsid w:val="7A5863D3"/>
    <w:rsid w:val="7A616C12"/>
    <w:rsid w:val="7A64499E"/>
    <w:rsid w:val="7A6656B6"/>
    <w:rsid w:val="7A723F72"/>
    <w:rsid w:val="7A743D9C"/>
    <w:rsid w:val="7A7D4128"/>
    <w:rsid w:val="7A9123B7"/>
    <w:rsid w:val="7A9711EE"/>
    <w:rsid w:val="7A9A1B33"/>
    <w:rsid w:val="7A9C3E5C"/>
    <w:rsid w:val="7A9D1CEF"/>
    <w:rsid w:val="7AA16CBD"/>
    <w:rsid w:val="7AA72503"/>
    <w:rsid w:val="7AA952CF"/>
    <w:rsid w:val="7AAE678B"/>
    <w:rsid w:val="7AB0068A"/>
    <w:rsid w:val="7AB07C78"/>
    <w:rsid w:val="7ACD2D7F"/>
    <w:rsid w:val="7ACF3763"/>
    <w:rsid w:val="7AD27B42"/>
    <w:rsid w:val="7AD84E14"/>
    <w:rsid w:val="7ADE351A"/>
    <w:rsid w:val="7AEA5252"/>
    <w:rsid w:val="7B023A51"/>
    <w:rsid w:val="7B1174B0"/>
    <w:rsid w:val="7B18546A"/>
    <w:rsid w:val="7B1F59AA"/>
    <w:rsid w:val="7B214978"/>
    <w:rsid w:val="7B442FBB"/>
    <w:rsid w:val="7B4A5781"/>
    <w:rsid w:val="7B4E09BF"/>
    <w:rsid w:val="7B603C7C"/>
    <w:rsid w:val="7B6E2AB1"/>
    <w:rsid w:val="7B771CED"/>
    <w:rsid w:val="7B9422CC"/>
    <w:rsid w:val="7BA22D26"/>
    <w:rsid w:val="7BA521BC"/>
    <w:rsid w:val="7BAB7079"/>
    <w:rsid w:val="7BB145C1"/>
    <w:rsid w:val="7BB2241E"/>
    <w:rsid w:val="7BC17EBE"/>
    <w:rsid w:val="7BC43666"/>
    <w:rsid w:val="7BC8293C"/>
    <w:rsid w:val="7BC87053"/>
    <w:rsid w:val="7BDC009C"/>
    <w:rsid w:val="7BDE0174"/>
    <w:rsid w:val="7BDF18E6"/>
    <w:rsid w:val="7BE131F6"/>
    <w:rsid w:val="7BF11348"/>
    <w:rsid w:val="7C1A240A"/>
    <w:rsid w:val="7C206952"/>
    <w:rsid w:val="7C2D3554"/>
    <w:rsid w:val="7C3C00BE"/>
    <w:rsid w:val="7C42281E"/>
    <w:rsid w:val="7C4C39C2"/>
    <w:rsid w:val="7C610C91"/>
    <w:rsid w:val="7C613AEC"/>
    <w:rsid w:val="7C64201D"/>
    <w:rsid w:val="7C734075"/>
    <w:rsid w:val="7C7C6B89"/>
    <w:rsid w:val="7C815D2A"/>
    <w:rsid w:val="7C831756"/>
    <w:rsid w:val="7C836587"/>
    <w:rsid w:val="7C954DEC"/>
    <w:rsid w:val="7CA67728"/>
    <w:rsid w:val="7CB62523"/>
    <w:rsid w:val="7CCD0B40"/>
    <w:rsid w:val="7CDE371B"/>
    <w:rsid w:val="7CE70935"/>
    <w:rsid w:val="7CF142D6"/>
    <w:rsid w:val="7CF84A31"/>
    <w:rsid w:val="7CFC44C2"/>
    <w:rsid w:val="7D013B39"/>
    <w:rsid w:val="7D0826CA"/>
    <w:rsid w:val="7D130509"/>
    <w:rsid w:val="7D182D5A"/>
    <w:rsid w:val="7D1946C0"/>
    <w:rsid w:val="7D2A5CCB"/>
    <w:rsid w:val="7D381F29"/>
    <w:rsid w:val="7D401C68"/>
    <w:rsid w:val="7D401CAA"/>
    <w:rsid w:val="7D4E195B"/>
    <w:rsid w:val="7D64087E"/>
    <w:rsid w:val="7D682284"/>
    <w:rsid w:val="7D7A555A"/>
    <w:rsid w:val="7D7F5298"/>
    <w:rsid w:val="7D811243"/>
    <w:rsid w:val="7D8362BA"/>
    <w:rsid w:val="7D920CA9"/>
    <w:rsid w:val="7DAB10BD"/>
    <w:rsid w:val="7DD7657D"/>
    <w:rsid w:val="7DF464FC"/>
    <w:rsid w:val="7DFD2921"/>
    <w:rsid w:val="7E006A11"/>
    <w:rsid w:val="7E054F9B"/>
    <w:rsid w:val="7E0846A6"/>
    <w:rsid w:val="7E0D6424"/>
    <w:rsid w:val="7E1C55F3"/>
    <w:rsid w:val="7E2E7D3F"/>
    <w:rsid w:val="7E32211E"/>
    <w:rsid w:val="7E347694"/>
    <w:rsid w:val="7E3B5911"/>
    <w:rsid w:val="7E495416"/>
    <w:rsid w:val="7E497873"/>
    <w:rsid w:val="7E4B71F6"/>
    <w:rsid w:val="7E573082"/>
    <w:rsid w:val="7E750E81"/>
    <w:rsid w:val="7E9044A6"/>
    <w:rsid w:val="7E922E52"/>
    <w:rsid w:val="7E9D61CC"/>
    <w:rsid w:val="7EA87297"/>
    <w:rsid w:val="7EB56059"/>
    <w:rsid w:val="7EB73383"/>
    <w:rsid w:val="7EC22792"/>
    <w:rsid w:val="7EC57DB4"/>
    <w:rsid w:val="7ED55364"/>
    <w:rsid w:val="7ED61FF8"/>
    <w:rsid w:val="7EDC3E28"/>
    <w:rsid w:val="7EDE52DA"/>
    <w:rsid w:val="7EEB1AD7"/>
    <w:rsid w:val="7EEC4A0C"/>
    <w:rsid w:val="7EEF5C7E"/>
    <w:rsid w:val="7EFA4392"/>
    <w:rsid w:val="7F057503"/>
    <w:rsid w:val="7F085E6E"/>
    <w:rsid w:val="7F090A0E"/>
    <w:rsid w:val="7F0C0396"/>
    <w:rsid w:val="7F0F0634"/>
    <w:rsid w:val="7F160CCE"/>
    <w:rsid w:val="7F18438A"/>
    <w:rsid w:val="7F314300"/>
    <w:rsid w:val="7F3B01C9"/>
    <w:rsid w:val="7F3C2180"/>
    <w:rsid w:val="7F3C52BC"/>
    <w:rsid w:val="7F6339F7"/>
    <w:rsid w:val="7F6D2869"/>
    <w:rsid w:val="7FA069EC"/>
    <w:rsid w:val="7FA160DE"/>
    <w:rsid w:val="7FDA2CD0"/>
    <w:rsid w:val="7FF908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0"/>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4"/>
    <w:qFormat/>
    <w:uiPriority w:val="0"/>
    <w:pPr>
      <w:keepLines/>
      <w:widowControl/>
      <w:spacing w:before="180" w:after="180"/>
      <w:ind w:left="1134" w:hanging="1134"/>
      <w:jc w:val="left"/>
      <w:outlineLvl w:val="1"/>
    </w:pPr>
    <w:rPr>
      <w:rFonts w:ascii="Arial" w:hAnsi="Arial"/>
      <w:b w:val="0"/>
      <w:bCs w:val="0"/>
      <w:kern w:val="0"/>
      <w:szCs w:val="20"/>
      <w:lang w:eastAsia="en-US"/>
    </w:rPr>
  </w:style>
  <w:style w:type="paragraph" w:styleId="4">
    <w:name w:val="heading 3"/>
    <w:basedOn w:val="3"/>
    <w:next w:val="1"/>
    <w:link w:val="86"/>
    <w:qFormat/>
    <w:uiPriority w:val="0"/>
    <w:pPr>
      <w:spacing w:before="120"/>
      <w:outlineLvl w:val="2"/>
    </w:pPr>
    <w:rPr>
      <w:sz w:val="28"/>
    </w:rPr>
  </w:style>
  <w:style w:type="paragraph" w:styleId="5">
    <w:name w:val="heading 4"/>
    <w:basedOn w:val="4"/>
    <w:next w:val="1"/>
    <w:link w:val="74"/>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85"/>
    <w:qFormat/>
    <w:uiPriority w:val="0"/>
    <w:pPr>
      <w:tabs>
        <w:tab w:val="left" w:pos="2144"/>
        <w:tab w:val="clear" w:pos="2000"/>
      </w:tabs>
      <w:ind w:left="2144" w:hanging="1008"/>
      <w:outlineLvl w:val="4"/>
    </w:pPr>
    <w:rPr>
      <w:sz w:val="22"/>
    </w:rPr>
  </w:style>
  <w:style w:type="paragraph" w:styleId="7">
    <w:name w:val="heading 6"/>
    <w:basedOn w:val="1"/>
    <w:next w:val="1"/>
    <w:link w:val="63"/>
    <w:qFormat/>
    <w:uiPriority w:val="0"/>
    <w:pPr>
      <w:keepNext/>
      <w:keepLines/>
      <w:widowControl/>
      <w:tabs>
        <w:tab w:val="left" w:pos="2288"/>
      </w:tabs>
      <w:overflowPunct w:val="0"/>
      <w:autoSpaceDE w:val="0"/>
      <w:autoSpaceDN w:val="0"/>
      <w:adjustRightInd w:val="0"/>
      <w:spacing w:before="120" w:after="180"/>
      <w:ind w:left="2288" w:hanging="1152"/>
      <w:jc w:val="left"/>
      <w:textAlignment w:val="baseline"/>
      <w:outlineLvl w:val="5"/>
    </w:pPr>
    <w:rPr>
      <w:rFonts w:ascii="Arial" w:hAnsi="Arial"/>
      <w:kern w:val="0"/>
      <w:sz w:val="20"/>
      <w:szCs w:val="20"/>
      <w:lang w:val="en-GB" w:eastAsia="en-US"/>
    </w:rPr>
  </w:style>
  <w:style w:type="paragraph" w:styleId="8">
    <w:name w:val="heading 7"/>
    <w:basedOn w:val="1"/>
    <w:next w:val="1"/>
    <w:link w:val="79"/>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9">
    <w:name w:val="heading 8"/>
    <w:basedOn w:val="2"/>
    <w:next w:val="1"/>
    <w:link w:val="65"/>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0">
    <w:name w:val="heading 9"/>
    <w:basedOn w:val="9"/>
    <w:next w:val="1"/>
    <w:link w:val="67"/>
    <w:qFormat/>
    <w:uiPriority w:val="0"/>
    <w:pPr>
      <w:tabs>
        <w:tab w:val="left" w:pos="2720"/>
        <w:tab w:val="clear" w:pos="2576"/>
      </w:tabs>
      <w:ind w:left="2720" w:hanging="1584"/>
      <w:outlineLvl w:val="8"/>
    </w:pPr>
  </w:style>
  <w:style w:type="character" w:default="1" w:styleId="23">
    <w:name w:val="Default Paragraph Font"/>
    <w:semiHidden/>
    <w:unhideWhenUsed/>
    <w:qFormat/>
    <w:uiPriority w:val="1"/>
  </w:style>
  <w:style w:type="table" w:default="1" w:styleId="21">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link w:val="69"/>
    <w:qFormat/>
    <w:uiPriority w:val="0"/>
    <w:pPr>
      <w:widowControl/>
      <w:spacing w:before="152" w:after="160"/>
    </w:pPr>
    <w:rPr>
      <w:rFonts w:ascii="Arial" w:hAnsi="Arial" w:eastAsia="黑体"/>
      <w:kern w:val="0"/>
      <w:sz w:val="20"/>
      <w:szCs w:val="20"/>
    </w:rPr>
  </w:style>
  <w:style w:type="paragraph" w:styleId="12">
    <w:name w:val="Document Map"/>
    <w:basedOn w:val="1"/>
    <w:link w:val="78"/>
    <w:unhideWhenUsed/>
    <w:qFormat/>
    <w:uiPriority w:val="99"/>
    <w:rPr>
      <w:rFonts w:ascii="宋体"/>
      <w:kern w:val="0"/>
      <w:sz w:val="18"/>
      <w:szCs w:val="18"/>
    </w:rPr>
  </w:style>
  <w:style w:type="paragraph" w:styleId="13">
    <w:name w:val="annotation text"/>
    <w:basedOn w:val="1"/>
    <w:link w:val="87"/>
    <w:unhideWhenUsed/>
    <w:qFormat/>
    <w:uiPriority w:val="99"/>
    <w:rPr>
      <w:sz w:val="20"/>
      <w:szCs w:val="20"/>
    </w:rPr>
  </w:style>
  <w:style w:type="paragraph" w:styleId="14">
    <w:name w:val="Body Text"/>
    <w:basedOn w:val="1"/>
    <w:link w:val="72"/>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5">
    <w:name w:val="Balloon Text"/>
    <w:basedOn w:val="1"/>
    <w:link w:val="75"/>
    <w:unhideWhenUsed/>
    <w:qFormat/>
    <w:uiPriority w:val="99"/>
    <w:rPr>
      <w:sz w:val="18"/>
      <w:szCs w:val="18"/>
    </w:rPr>
  </w:style>
  <w:style w:type="paragraph" w:styleId="16">
    <w:name w:val="footer"/>
    <w:basedOn w:val="17"/>
    <w:link w:val="81"/>
    <w:unhideWhenUsed/>
    <w:qFormat/>
    <w:uiPriority w:val="99"/>
    <w:pPr>
      <w:tabs>
        <w:tab w:val="center" w:pos="4153"/>
        <w:tab w:val="right" w:pos="8306"/>
      </w:tabs>
      <w:jc w:val="left"/>
    </w:pPr>
  </w:style>
  <w:style w:type="paragraph" w:styleId="17">
    <w:name w:val="header"/>
    <w:basedOn w:val="1"/>
    <w:link w:val="77"/>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8">
    <w:name w:val="List"/>
    <w:basedOn w:val="1"/>
    <w:unhideWhenUsed/>
    <w:qFormat/>
    <w:uiPriority w:val="99"/>
    <w:pPr>
      <w:ind w:left="200" w:hanging="200" w:hangingChars="200"/>
      <w:contextualSpacing/>
    </w:pPr>
  </w:style>
  <w:style w:type="paragraph" w:styleId="19">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0">
    <w:name w:val="annotation subject"/>
    <w:basedOn w:val="13"/>
    <w:next w:val="13"/>
    <w:link w:val="82"/>
    <w:unhideWhenUsed/>
    <w:qFormat/>
    <w:uiPriority w:val="99"/>
    <w:rPr>
      <w:b/>
      <w:bCs/>
    </w:rPr>
  </w:style>
  <w:style w:type="table" w:styleId="22">
    <w:name w:val="Table Grid"/>
    <w:basedOn w:val="2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4">
    <w:name w:val="Strong"/>
    <w:qFormat/>
    <w:uiPriority w:val="0"/>
    <w:rPr>
      <w:rFonts w:ascii="Calibri" w:hAnsi="Calibri" w:eastAsia="宋体" w:cs="Calibri"/>
      <w:bCs/>
      <w:sz w:val="24"/>
    </w:rPr>
  </w:style>
  <w:style w:type="character" w:styleId="25">
    <w:name w:val="Emphasis"/>
    <w:qFormat/>
    <w:uiPriority w:val="20"/>
    <w:rPr>
      <w:color w:val="CC0000"/>
    </w:rPr>
  </w:style>
  <w:style w:type="character" w:styleId="26">
    <w:name w:val="Hyperlink"/>
    <w:qFormat/>
    <w:uiPriority w:val="0"/>
    <w:rPr>
      <w:color w:val="0000FF"/>
      <w:u w:val="single"/>
    </w:rPr>
  </w:style>
  <w:style w:type="character" w:styleId="27">
    <w:name w:val="annotation reference"/>
    <w:unhideWhenUsed/>
    <w:qFormat/>
    <w:uiPriority w:val="99"/>
    <w:rPr>
      <w:sz w:val="16"/>
      <w:szCs w:val="16"/>
    </w:rPr>
  </w:style>
  <w:style w:type="character" w:styleId="28">
    <w:name w:val="HTML Cite"/>
    <w:unhideWhenUsed/>
    <w:qFormat/>
    <w:uiPriority w:val="99"/>
    <w:rPr>
      <w:color w:val="008000"/>
    </w:rPr>
  </w:style>
  <w:style w:type="paragraph" w:customStyle="1" w:styleId="29">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0">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1">
    <w:name w:val="List Paragraph"/>
    <w:basedOn w:val="1"/>
    <w:qFormat/>
    <w:uiPriority w:val="34"/>
    <w:pPr>
      <w:ind w:firstLine="420" w:firstLineChars="200"/>
    </w:pPr>
  </w:style>
  <w:style w:type="paragraph" w:customStyle="1" w:styleId="32">
    <w:name w:val="TAH"/>
    <w:basedOn w:val="33"/>
    <w:link w:val="58"/>
    <w:qFormat/>
    <w:uiPriority w:val="99"/>
    <w:rPr>
      <w:b/>
    </w:rPr>
  </w:style>
  <w:style w:type="paragraph" w:customStyle="1" w:styleId="33">
    <w:name w:val="TAC"/>
    <w:basedOn w:val="34"/>
    <w:link w:val="73"/>
    <w:qFormat/>
    <w:uiPriority w:val="0"/>
    <w:pPr>
      <w:jc w:val="center"/>
    </w:pPr>
    <w:rPr>
      <w:rFonts w:eastAsia="Times New Roman"/>
      <w:lang w:eastAsia="ja-JP"/>
    </w:rPr>
  </w:style>
  <w:style w:type="paragraph" w:customStyle="1" w:styleId="34">
    <w:name w:val="TAL"/>
    <w:basedOn w:val="1"/>
    <w:link w:val="62"/>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35">
    <w:name w:val="正文1"/>
    <w:basedOn w:val="1"/>
    <w:link w:val="59"/>
    <w:qFormat/>
    <w:uiPriority w:val="0"/>
    <w:pPr>
      <w:adjustRightInd w:val="0"/>
      <w:spacing w:after="180"/>
    </w:pPr>
    <w:rPr>
      <w:kern w:val="0"/>
      <w:sz w:val="20"/>
      <w:szCs w:val="20"/>
    </w:rPr>
  </w:style>
  <w:style w:type="paragraph" w:customStyle="1" w:styleId="36">
    <w:name w:val="char char char"/>
    <w:basedOn w:val="35"/>
    <w:link w:val="76"/>
    <w:qFormat/>
    <w:uiPriority w:val="0"/>
    <w:pPr>
      <w:keepNext/>
      <w:keepLines/>
      <w:widowControl/>
      <w:spacing w:before="120"/>
      <w:ind w:firstLine="40"/>
      <w:outlineLvl w:val="2"/>
    </w:pPr>
    <w:rPr>
      <w:rFonts w:ascii="Arial" w:hAnsi="Arial"/>
      <w:sz w:val="24"/>
      <w:szCs w:val="28"/>
    </w:rPr>
  </w:style>
  <w:style w:type="paragraph" w:customStyle="1" w:styleId="37">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38">
    <w:name w:val="NO"/>
    <w:basedOn w:val="1"/>
    <w:link w:val="57"/>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3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Arial"/>
      <w:sz w:val="40"/>
      <w:szCs w:val="40"/>
      <w:lang w:val="en-US" w:eastAsia="en-US" w:bidi="ar-SA"/>
    </w:rPr>
  </w:style>
  <w:style w:type="paragraph" w:customStyle="1" w:styleId="40">
    <w:name w:val="EQ"/>
    <w:basedOn w:val="1"/>
    <w:next w:val="1"/>
    <w:qFormat/>
    <w:uiPriority w:val="0"/>
    <w:pPr>
      <w:keepLines/>
      <w:tabs>
        <w:tab w:val="center" w:pos="4536"/>
        <w:tab w:val="right" w:pos="9072"/>
      </w:tabs>
    </w:pPr>
  </w:style>
  <w:style w:type="paragraph" w:customStyle="1" w:styleId="41">
    <w:name w:val="Table_title"/>
    <w:basedOn w:val="1"/>
    <w:next w:val="29"/>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2">
    <w:name w:val="TH"/>
    <w:basedOn w:val="43"/>
    <w:next w:val="43"/>
    <w:link w:val="71"/>
    <w:qFormat/>
    <w:uiPriority w:val="0"/>
    <w:pPr>
      <w:keepNext/>
      <w:keepLines/>
      <w:widowControl/>
      <w:overflowPunct w:val="0"/>
      <w:autoSpaceDE w:val="0"/>
      <w:autoSpaceDN w:val="0"/>
      <w:adjustRightInd w:val="0"/>
      <w:spacing w:before="60" w:after="180"/>
      <w:jc w:val="center"/>
      <w:textAlignment w:val="baseline"/>
    </w:pPr>
    <w:rPr>
      <w:rFonts w:ascii="Arial" w:hAnsi="Arial"/>
      <w:bCs/>
      <w:kern w:val="0"/>
      <w:sz w:val="20"/>
      <w:szCs w:val="20"/>
      <w:lang w:val="en-GB"/>
    </w:rPr>
  </w:style>
  <w:style w:type="paragraph" w:customStyle="1" w:styleId="43">
    <w:name w:val="FL"/>
    <w:basedOn w:val="1"/>
    <w:qFormat/>
    <w:uiPriority w:val="0"/>
    <w:pPr>
      <w:keepNext/>
      <w:keepLines/>
      <w:spacing w:before="60"/>
      <w:jc w:val="center"/>
    </w:pPr>
    <w:rPr>
      <w:rFonts w:ascii="Arial" w:hAnsi="Arial"/>
      <w:b/>
    </w:rPr>
  </w:style>
  <w:style w:type="paragraph" w:styleId="44">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45">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46">
    <w:name w:val="TAN"/>
    <w:basedOn w:val="1"/>
    <w:link w:val="55"/>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47">
    <w:name w:val="TF"/>
    <w:basedOn w:val="42"/>
    <w:qFormat/>
    <w:uiPriority w:val="0"/>
    <w:pPr>
      <w:keepNext w:val="0"/>
      <w:spacing w:before="0" w:after="240"/>
    </w:pPr>
  </w:style>
  <w:style w:type="paragraph" w:customStyle="1" w:styleId="48">
    <w:name w:val="B1"/>
    <w:basedOn w:val="18"/>
    <w:link w:val="54"/>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49">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0">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1">
    <w:name w:val="_Style 0"/>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52">
    <w:name w:val="char char"/>
    <w:basedOn w:val="35"/>
    <w:link w:val="68"/>
    <w:qFormat/>
    <w:uiPriority w:val="0"/>
    <w:pPr>
      <w:spacing w:before="180" w:after="120"/>
      <w:outlineLvl w:val="1"/>
    </w:pPr>
    <w:rPr>
      <w:rFonts w:ascii="Arial" w:hAnsi="Arial"/>
      <w:sz w:val="28"/>
      <w:szCs w:val="32"/>
    </w:rPr>
  </w:style>
  <w:style w:type="paragraph" w:customStyle="1" w:styleId="53">
    <w:name w:val="Char"/>
    <w:basedOn w:val="31"/>
    <w:link w:val="70"/>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4">
    <w:name w:val="B1 Char"/>
    <w:link w:val="48"/>
    <w:qFormat/>
    <w:uiPriority w:val="0"/>
    <w:rPr>
      <w:rFonts w:ascii="Times New Roman" w:hAnsi="Times New Roman" w:eastAsia="MS Mincho"/>
      <w:lang w:val="en-GB" w:eastAsia="de-DE"/>
    </w:rPr>
  </w:style>
  <w:style w:type="character" w:customStyle="1" w:styleId="55">
    <w:name w:val="TAN Char"/>
    <w:link w:val="46"/>
    <w:qFormat/>
    <w:uiPriority w:val="0"/>
    <w:rPr>
      <w:rFonts w:ascii="Arial" w:hAnsi="Arial" w:eastAsia="宋体"/>
      <w:sz w:val="18"/>
      <w:szCs w:val="18"/>
      <w:lang w:val="en-GB"/>
    </w:rPr>
  </w:style>
  <w:style w:type="character" w:customStyle="1" w:styleId="56">
    <w:name w:val="默认段落字体1"/>
    <w:qFormat/>
    <w:uiPriority w:val="0"/>
  </w:style>
  <w:style w:type="character" w:customStyle="1" w:styleId="57">
    <w:name w:val="NO Char"/>
    <w:link w:val="38"/>
    <w:qFormat/>
    <w:uiPriority w:val="0"/>
    <w:rPr>
      <w:rFonts w:ascii="Times New Roman" w:hAnsi="Times New Roman" w:eastAsia="Times New Roman"/>
      <w:lang w:val="en-GB"/>
    </w:rPr>
  </w:style>
  <w:style w:type="character" w:customStyle="1" w:styleId="58">
    <w:name w:val="TAH Car"/>
    <w:link w:val="32"/>
    <w:qFormat/>
    <w:uiPriority w:val="99"/>
    <w:rPr>
      <w:rFonts w:ascii="Arial" w:hAnsi="Arial" w:eastAsia="Times New Roman" w:cs="Times New Roman"/>
      <w:b/>
      <w:kern w:val="0"/>
      <w:sz w:val="18"/>
      <w:szCs w:val="20"/>
      <w:lang w:val="en-GB" w:eastAsia="ja-JP"/>
    </w:rPr>
  </w:style>
  <w:style w:type="character" w:customStyle="1" w:styleId="59">
    <w:name w:val="正文1 Char"/>
    <w:link w:val="35"/>
    <w:qFormat/>
    <w:uiPriority w:val="0"/>
    <w:rPr>
      <w:rFonts w:ascii="Times New Roman" w:hAnsi="Times New Roman" w:eastAsia="宋体" w:cs="Times New Roman"/>
      <w:kern w:val="0"/>
      <w:sz w:val="20"/>
      <w:szCs w:val="20"/>
    </w:rPr>
  </w:style>
  <w:style w:type="character" w:customStyle="1" w:styleId="60">
    <w:name w:val="keyword"/>
    <w:basedOn w:val="23"/>
    <w:qFormat/>
    <w:uiPriority w:val="0"/>
  </w:style>
  <w:style w:type="character" w:customStyle="1" w:styleId="61">
    <w:name w:val="c-icon"/>
    <w:basedOn w:val="23"/>
    <w:qFormat/>
    <w:uiPriority w:val="0"/>
  </w:style>
  <w:style w:type="character" w:customStyle="1" w:styleId="62">
    <w:name w:val="TAL Char"/>
    <w:link w:val="34"/>
    <w:qFormat/>
    <w:uiPriority w:val="0"/>
    <w:rPr>
      <w:rFonts w:ascii="Arial" w:hAnsi="Arial"/>
      <w:sz w:val="18"/>
      <w:lang w:val="en-GB" w:eastAsia="en-US"/>
    </w:rPr>
  </w:style>
  <w:style w:type="character" w:customStyle="1" w:styleId="63">
    <w:name w:val="Heading 6 Char"/>
    <w:link w:val="7"/>
    <w:qFormat/>
    <w:uiPriority w:val="0"/>
    <w:rPr>
      <w:rFonts w:ascii="Arial" w:hAnsi="Arial" w:eastAsia="宋体"/>
      <w:lang w:val="en-GB" w:eastAsia="en-US"/>
    </w:rPr>
  </w:style>
  <w:style w:type="character" w:customStyle="1" w:styleId="64">
    <w:name w:val="c-icon14"/>
    <w:basedOn w:val="23"/>
    <w:qFormat/>
    <w:uiPriority w:val="0"/>
  </w:style>
  <w:style w:type="character" w:customStyle="1" w:styleId="65">
    <w:name w:val="Heading 8 Char"/>
    <w:link w:val="9"/>
    <w:qFormat/>
    <w:uiPriority w:val="0"/>
    <w:rPr>
      <w:rFonts w:ascii="Arial" w:hAnsi="Arial" w:eastAsia="宋体"/>
      <w:sz w:val="36"/>
      <w:lang w:val="en-GB" w:eastAsia="en-US"/>
    </w:rPr>
  </w:style>
  <w:style w:type="character" w:customStyle="1" w:styleId="66">
    <w:name w:val="op_dict_text2"/>
    <w:basedOn w:val="23"/>
    <w:qFormat/>
    <w:uiPriority w:val="0"/>
  </w:style>
  <w:style w:type="character" w:customStyle="1" w:styleId="67">
    <w:name w:val="Heading 9 Char"/>
    <w:link w:val="10"/>
    <w:qFormat/>
    <w:uiPriority w:val="0"/>
    <w:rPr>
      <w:rFonts w:ascii="Arial" w:hAnsi="Arial" w:eastAsia="宋体"/>
      <w:sz w:val="36"/>
      <w:lang w:val="en-GB" w:eastAsia="en-US"/>
    </w:rPr>
  </w:style>
  <w:style w:type="character" w:customStyle="1" w:styleId="68">
    <w:name w:val="char char Char"/>
    <w:link w:val="52"/>
    <w:qFormat/>
    <w:uiPriority w:val="0"/>
    <w:rPr>
      <w:rFonts w:ascii="Arial" w:hAnsi="Arial" w:eastAsia="宋体" w:cs="Times New Roman"/>
      <w:kern w:val="0"/>
      <w:sz w:val="28"/>
      <w:szCs w:val="32"/>
    </w:rPr>
  </w:style>
  <w:style w:type="character" w:customStyle="1" w:styleId="69">
    <w:name w:val="Caption Char"/>
    <w:link w:val="11"/>
    <w:qFormat/>
    <w:uiPriority w:val="0"/>
    <w:rPr>
      <w:rFonts w:ascii="Arial" w:hAnsi="Arial" w:eastAsia="黑体"/>
    </w:rPr>
  </w:style>
  <w:style w:type="character" w:customStyle="1" w:styleId="70">
    <w:name w:val="Char Char"/>
    <w:link w:val="53"/>
    <w:qFormat/>
    <w:uiPriority w:val="0"/>
    <w:rPr>
      <w:rFonts w:ascii="Arial" w:hAnsi="Arial"/>
      <w:sz w:val="32"/>
      <w:szCs w:val="36"/>
    </w:rPr>
  </w:style>
  <w:style w:type="character" w:customStyle="1" w:styleId="71">
    <w:name w:val="TH Char"/>
    <w:link w:val="42"/>
    <w:qFormat/>
    <w:uiPriority w:val="0"/>
    <w:rPr>
      <w:rFonts w:ascii="Arial" w:hAnsi="Arial" w:eastAsia="宋体"/>
      <w:b/>
      <w:bCs/>
      <w:lang w:val="en-GB"/>
    </w:rPr>
  </w:style>
  <w:style w:type="character" w:customStyle="1" w:styleId="72">
    <w:name w:val="Body Text Char"/>
    <w:link w:val="14"/>
    <w:qFormat/>
    <w:uiPriority w:val="0"/>
    <w:rPr>
      <w:rFonts w:ascii="Times New Roman" w:hAnsi="Times New Roman" w:eastAsia="Times New Roman" w:cs="Times New Roman"/>
      <w:kern w:val="0"/>
      <w:sz w:val="20"/>
      <w:szCs w:val="20"/>
      <w:lang w:val="en-GB" w:eastAsia="en-US"/>
    </w:rPr>
  </w:style>
  <w:style w:type="character" w:customStyle="1" w:styleId="73">
    <w:name w:val="TAC Char"/>
    <w:link w:val="33"/>
    <w:qFormat/>
    <w:uiPriority w:val="0"/>
    <w:rPr>
      <w:rFonts w:ascii="Arial" w:hAnsi="Arial" w:eastAsia="Times New Roman" w:cs="Times New Roman"/>
      <w:kern w:val="0"/>
      <w:sz w:val="18"/>
      <w:szCs w:val="20"/>
      <w:lang w:val="en-GB" w:eastAsia="ja-JP"/>
    </w:rPr>
  </w:style>
  <w:style w:type="character" w:customStyle="1" w:styleId="74">
    <w:name w:val="Heading 4 Char"/>
    <w:link w:val="5"/>
    <w:qFormat/>
    <w:uiPriority w:val="0"/>
    <w:rPr>
      <w:rFonts w:ascii="Arial" w:hAnsi="Arial" w:eastAsia="宋体"/>
      <w:sz w:val="24"/>
      <w:lang w:val="en-GB" w:eastAsia="en-US"/>
    </w:rPr>
  </w:style>
  <w:style w:type="character" w:customStyle="1" w:styleId="75">
    <w:name w:val="Balloon Text Char"/>
    <w:link w:val="15"/>
    <w:semiHidden/>
    <w:qFormat/>
    <w:uiPriority w:val="99"/>
    <w:rPr>
      <w:kern w:val="2"/>
      <w:sz w:val="18"/>
      <w:szCs w:val="18"/>
    </w:rPr>
  </w:style>
  <w:style w:type="character" w:customStyle="1" w:styleId="76">
    <w:name w:val="char char char Char"/>
    <w:link w:val="36"/>
    <w:qFormat/>
    <w:uiPriority w:val="0"/>
    <w:rPr>
      <w:rFonts w:ascii="Arial" w:hAnsi="Arial" w:eastAsia="宋体" w:cs="Times New Roman"/>
      <w:kern w:val="0"/>
      <w:sz w:val="24"/>
      <w:szCs w:val="28"/>
    </w:rPr>
  </w:style>
  <w:style w:type="character" w:customStyle="1" w:styleId="77">
    <w:name w:val="Header Char"/>
    <w:link w:val="17"/>
    <w:qFormat/>
    <w:uiPriority w:val="99"/>
    <w:rPr>
      <w:sz w:val="18"/>
      <w:szCs w:val="18"/>
    </w:rPr>
  </w:style>
  <w:style w:type="character" w:customStyle="1" w:styleId="78">
    <w:name w:val="Document Map Char"/>
    <w:link w:val="12"/>
    <w:semiHidden/>
    <w:qFormat/>
    <w:uiPriority w:val="99"/>
    <w:rPr>
      <w:rFonts w:ascii="宋体" w:eastAsia="宋体"/>
      <w:sz w:val="18"/>
      <w:szCs w:val="18"/>
    </w:rPr>
  </w:style>
  <w:style w:type="character" w:customStyle="1" w:styleId="79">
    <w:name w:val="Heading 7 Char"/>
    <w:link w:val="8"/>
    <w:qFormat/>
    <w:uiPriority w:val="0"/>
    <w:rPr>
      <w:rFonts w:ascii="Arial" w:hAnsi="Arial" w:eastAsia="宋体"/>
      <w:lang w:val="en-GB" w:eastAsia="en-US"/>
    </w:rPr>
  </w:style>
  <w:style w:type="character" w:customStyle="1" w:styleId="80">
    <w:name w:val="Heading 1 Char"/>
    <w:link w:val="2"/>
    <w:qFormat/>
    <w:uiPriority w:val="9"/>
    <w:rPr>
      <w:rFonts w:ascii="Cambria" w:hAnsi="Cambria" w:eastAsia="宋体" w:cs="Times New Roman"/>
      <w:b/>
      <w:bCs/>
      <w:kern w:val="32"/>
      <w:sz w:val="32"/>
      <w:szCs w:val="32"/>
      <w:lang w:val="en-US"/>
    </w:rPr>
  </w:style>
  <w:style w:type="character" w:customStyle="1" w:styleId="81">
    <w:name w:val="Footer Char"/>
    <w:link w:val="16"/>
    <w:qFormat/>
    <w:uiPriority w:val="99"/>
    <w:rPr>
      <w:sz w:val="18"/>
      <w:szCs w:val="18"/>
    </w:rPr>
  </w:style>
  <w:style w:type="character" w:customStyle="1" w:styleId="82">
    <w:name w:val="Comment Subject Char"/>
    <w:link w:val="20"/>
    <w:semiHidden/>
    <w:qFormat/>
    <w:uiPriority w:val="99"/>
    <w:rPr>
      <w:b/>
      <w:bCs/>
      <w:kern w:val="2"/>
      <w:lang w:eastAsia="zh-CN"/>
    </w:rPr>
  </w:style>
  <w:style w:type="character" w:customStyle="1" w:styleId="83">
    <w:name w:val="msoins"/>
    <w:basedOn w:val="23"/>
    <w:qFormat/>
    <w:uiPriority w:val="0"/>
  </w:style>
  <w:style w:type="character" w:customStyle="1" w:styleId="84">
    <w:name w:val="Heading 2 Char"/>
    <w:link w:val="3"/>
    <w:qFormat/>
    <w:uiPriority w:val="0"/>
    <w:rPr>
      <w:rFonts w:ascii="Arial" w:hAnsi="Arial"/>
      <w:sz w:val="32"/>
      <w:lang w:eastAsia="en-US"/>
    </w:rPr>
  </w:style>
  <w:style w:type="character" w:customStyle="1" w:styleId="85">
    <w:name w:val="Heading 5 Char"/>
    <w:link w:val="6"/>
    <w:qFormat/>
    <w:uiPriority w:val="0"/>
    <w:rPr>
      <w:rFonts w:ascii="Arial" w:hAnsi="Arial" w:eastAsia="宋体"/>
      <w:sz w:val="22"/>
      <w:lang w:val="en-GB" w:eastAsia="en-US"/>
    </w:rPr>
  </w:style>
  <w:style w:type="character" w:customStyle="1" w:styleId="86">
    <w:name w:val="Heading 3 Char"/>
    <w:link w:val="4"/>
    <w:qFormat/>
    <w:uiPriority w:val="0"/>
    <w:rPr>
      <w:rFonts w:ascii="Arial" w:hAnsi="Arial"/>
      <w:sz w:val="28"/>
      <w:lang w:eastAsia="en-US"/>
    </w:rPr>
  </w:style>
  <w:style w:type="character" w:customStyle="1" w:styleId="87">
    <w:name w:val="Comment Text Char"/>
    <w:link w:val="13"/>
    <w:semiHidden/>
    <w:qFormat/>
    <w:uiPriority w:val="99"/>
    <w:rPr>
      <w:kern w:val="2"/>
      <w:lang w:eastAsia="zh-CN"/>
    </w:rPr>
  </w:style>
  <w:style w:type="character" w:customStyle="1" w:styleId="88">
    <w:name w:val="op_dict3_lineone_result_tip"/>
    <w:qFormat/>
    <w:uiPriority w:val="0"/>
    <w:rPr>
      <w:color w:val="999999"/>
    </w:rPr>
  </w:style>
  <w:style w:type="character" w:styleId="89">
    <w:name w:val="Placeholder Text"/>
    <w:basedOn w:val="23"/>
    <w:semiHidden/>
    <w:qFormat/>
    <w:uiPriority w:val="99"/>
    <w:rPr>
      <w:color w:val="808080"/>
    </w:rPr>
  </w:style>
  <w:style w:type="paragraph" w:customStyle="1" w:styleId="90">
    <w:name w:val="3GPP_Header"/>
    <w:basedOn w:val="1"/>
    <w:qFormat/>
    <w:uiPriority w:val="0"/>
    <w:pPr>
      <w:tabs>
        <w:tab w:val="left" w:pos="1701"/>
        <w:tab w:val="right" w:pos="9639"/>
      </w:tabs>
      <w:overflowPunct w:val="0"/>
      <w:autoSpaceDE w:val="0"/>
      <w:autoSpaceDN w:val="0"/>
      <w:adjustRightInd w:val="0"/>
      <w:spacing w:after="240" w:line="240" w:lineRule="auto"/>
      <w:jc w:val="both"/>
      <w:textAlignment w:val="baseline"/>
    </w:pPr>
    <w:rPr>
      <w:rFonts w:ascii="Arial" w:hAnsi="Arial" w:eastAsia="Times New Roman"/>
      <w:b/>
      <w:sz w:val="24"/>
      <w:szCs w:val="20"/>
      <w:lang w:val="en-GB" w:eastAsia="zh-CN"/>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3D7B787-BF1D-421D-A18D-487F34A32604}">
  <ds:schemaRefs/>
</ds:datastoreItem>
</file>

<file path=docProps/app.xml><?xml version="1.0" encoding="utf-8"?>
<Properties xmlns="http://schemas.openxmlformats.org/officeDocument/2006/extended-properties" xmlns:vt="http://schemas.openxmlformats.org/officeDocument/2006/docPropsVTypes">
  <Template>Normal</Template>
  <Company>Alcatel-Lucent</Company>
  <Pages>3</Pages>
  <Words>760</Words>
  <Characters>4338</Characters>
  <Lines>36</Lines>
  <Paragraphs>10</Paragraphs>
  <TotalTime>0</TotalTime>
  <ScaleCrop>false</ScaleCrop>
  <LinksUpToDate>false</LinksUpToDate>
  <CharactersWithSpaces>5088</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ZTE,Fei Xue</cp:lastModifiedBy>
  <dcterms:modified xsi:type="dcterms:W3CDTF">2022-04-25T15:44:20Z</dcterms:modified>
  <cp:revision>55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